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CA" w:rsidRDefault="001851DE" w:rsidP="00765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>ТОПЛОФИКАЦИЯ</w:t>
      </w:r>
      <w:r w:rsidR="0035566A">
        <w:rPr>
          <w:rFonts w:ascii="Times New Roman" w:hAnsi="Times New Roman" w:cs="Times New Roman"/>
          <w:b/>
          <w:sz w:val="28"/>
          <w:szCs w:val="28"/>
        </w:rPr>
        <w:t>-</w:t>
      </w:r>
    </w:p>
    <w:p w:rsidR="00C4013E" w:rsidRDefault="001851DE" w:rsidP="00765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b/>
          <w:sz w:val="28"/>
          <w:szCs w:val="28"/>
        </w:rPr>
        <w:t xml:space="preserve">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4013E"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:rsidR="00DE0FC2" w:rsidRPr="0019661D" w:rsidRDefault="00DE0FC2" w:rsidP="00784B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74607">
        <w:rPr>
          <w:rFonts w:ascii="Times New Roman" w:hAnsi="Times New Roman" w:cs="Times New Roman"/>
          <w:b/>
          <w:sz w:val="24"/>
          <w:szCs w:val="24"/>
        </w:rPr>
        <w:t>Н</w:t>
      </w:r>
      <w:r w:rsidRPr="00174607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ЗА ЦЕНИ НА ЕЛЕКТРИЧЕСКА И ТОПЛИННА ЕНЕРГИЯ ОТ 01.07.20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Pr="00174607">
        <w:rPr>
          <w:rFonts w:ascii="Times New Roman" w:hAnsi="Times New Roman" w:cs="Times New Roman"/>
          <w:b/>
          <w:sz w:val="24"/>
          <w:szCs w:val="24"/>
        </w:rPr>
        <w:t>г.- 30.06.20</w:t>
      </w:r>
      <w:r w:rsidR="00E224A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174607">
        <w:rPr>
          <w:rFonts w:ascii="Times New Roman" w:hAnsi="Times New Roman" w:cs="Times New Roman"/>
          <w:b/>
          <w:sz w:val="24"/>
          <w:szCs w:val="24"/>
        </w:rPr>
        <w:t>г.</w:t>
      </w:r>
    </w:p>
    <w:p w:rsidR="00C4013E" w:rsidRPr="00174607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7DE" w:rsidRPr="00174607" w:rsidRDefault="00E737D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Pr="0019661D">
        <w:rPr>
          <w:rFonts w:ascii="Times New Roman" w:hAnsi="Times New Roman" w:cs="Times New Roman"/>
          <w:sz w:val="24"/>
          <w:szCs w:val="24"/>
        </w:rPr>
        <w:t>УСЛОВНО ПОСТОЯННИ РАЗХОДИ</w:t>
      </w: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201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174607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proofErr w:type="gramStart"/>
      <w:r w:rsidR="00BB654B">
        <w:rPr>
          <w:rFonts w:ascii="Times New Roman" w:hAnsi="Times New Roman" w:cs="Times New Roman"/>
          <w:sz w:val="24"/>
          <w:szCs w:val="24"/>
          <w:lang w:val="en-US"/>
        </w:rPr>
        <w:t>96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994EA1">
        <w:rPr>
          <w:rFonts w:ascii="Times New Roman" w:hAnsi="Times New Roman" w:cs="Times New Roman"/>
          <w:sz w:val="24"/>
          <w:szCs w:val="24"/>
          <w:lang w:val="en-US"/>
        </w:rPr>
        <w:t>39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х.лв.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154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х.лв.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Завишени са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общо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>лв., както следва:</w:t>
      </w:r>
    </w:p>
    <w:p w:rsidR="00F55E47" w:rsidRDefault="00F55E47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E47" w:rsidRPr="00BF365F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>*Увеличение на р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>азходи</w:t>
      </w:r>
      <w:r w:rsidRPr="00BF365F">
        <w:rPr>
          <w:rFonts w:ascii="Times New Roman" w:hAnsi="Times New Roman" w:cs="Times New Roman"/>
          <w:b/>
          <w:sz w:val="24"/>
          <w:szCs w:val="24"/>
        </w:rPr>
        <w:t>те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 xml:space="preserve"> за амортизации за </w:t>
      </w:r>
      <w:r w:rsidRPr="00BF365F">
        <w:rPr>
          <w:rFonts w:ascii="Times New Roman" w:hAnsi="Times New Roman" w:cs="Times New Roman"/>
          <w:b/>
          <w:sz w:val="24"/>
          <w:szCs w:val="24"/>
        </w:rPr>
        <w:t>производство на топлинна енергия /</w:t>
      </w:r>
      <w:r w:rsidRPr="00BF365F">
        <w:rPr>
          <w:rFonts w:ascii="Times New Roman" w:hAnsi="Times New Roman" w:cs="Times New Roman"/>
          <w:sz w:val="24"/>
          <w:szCs w:val="24"/>
        </w:rPr>
        <w:t>амортизация на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Pr="00BF365F">
        <w:rPr>
          <w:rFonts w:ascii="Times New Roman" w:hAnsi="Times New Roman" w:cs="Times New Roman"/>
          <w:sz w:val="24"/>
          <w:szCs w:val="24"/>
        </w:rPr>
        <w:t>през 201</w:t>
      </w:r>
      <w:r w:rsidR="00BF365F" w:rsidRPr="00BF365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BF365F">
        <w:rPr>
          <w:rFonts w:ascii="Times New Roman" w:hAnsi="Times New Roman" w:cs="Times New Roman"/>
          <w:sz w:val="24"/>
          <w:szCs w:val="24"/>
        </w:rPr>
        <w:t xml:space="preserve">г. </w:t>
      </w:r>
      <w:r w:rsidR="005B062F" w:rsidRPr="00BF365F">
        <w:rPr>
          <w:rFonts w:ascii="Times New Roman" w:hAnsi="Times New Roman" w:cs="Times New Roman"/>
          <w:sz w:val="24"/>
          <w:szCs w:val="24"/>
        </w:rPr>
        <w:t xml:space="preserve">на </w:t>
      </w:r>
      <w:r w:rsidRPr="00BF365F">
        <w:rPr>
          <w:rFonts w:ascii="Times New Roman" w:hAnsi="Times New Roman" w:cs="Times New Roman"/>
          <w:sz w:val="24"/>
          <w:szCs w:val="24"/>
        </w:rPr>
        <w:t xml:space="preserve">Котел </w:t>
      </w:r>
      <w:r w:rsidR="00BF365F" w:rsidRPr="00BF365F">
        <w:rPr>
          <w:rFonts w:ascii="Times New Roman" w:hAnsi="Times New Roman" w:cs="Times New Roman"/>
          <w:sz w:val="24"/>
          <w:szCs w:val="24"/>
        </w:rPr>
        <w:t>ВК 50</w:t>
      </w:r>
      <w:r w:rsidRPr="00BF365F">
        <w:rPr>
          <w:rFonts w:ascii="Times New Roman" w:hAnsi="Times New Roman" w:cs="Times New Roman"/>
          <w:sz w:val="24"/>
          <w:szCs w:val="24"/>
        </w:rPr>
        <w:t xml:space="preserve"> за производство на ТЕ/.</w:t>
      </w:r>
    </w:p>
    <w:p w:rsidR="00F55E47" w:rsidRPr="00BF365F" w:rsidRDefault="00F55E4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65F">
        <w:rPr>
          <w:rFonts w:ascii="Times New Roman" w:hAnsi="Times New Roman" w:cs="Times New Roman"/>
          <w:sz w:val="24"/>
          <w:szCs w:val="24"/>
        </w:rPr>
        <w:t>*</w:t>
      </w:r>
      <w:r w:rsidR="00350654" w:rsidRPr="00BF365F">
        <w:rPr>
          <w:rFonts w:ascii="Times New Roman" w:hAnsi="Times New Roman" w:cs="Times New Roman"/>
          <w:sz w:val="24"/>
          <w:szCs w:val="24"/>
        </w:rPr>
        <w:t>Р</w:t>
      </w:r>
      <w:r w:rsidRPr="00BF365F">
        <w:rPr>
          <w:rFonts w:ascii="Times New Roman" w:hAnsi="Times New Roman" w:cs="Times New Roman"/>
          <w:b/>
          <w:sz w:val="24"/>
          <w:szCs w:val="24"/>
        </w:rPr>
        <w:t>азходите  за амортизация на активи в преноса на топлинна енергия</w:t>
      </w:r>
      <w:r w:rsidR="00B33987" w:rsidRPr="00BF365F">
        <w:rPr>
          <w:rFonts w:ascii="Times New Roman" w:hAnsi="Times New Roman" w:cs="Times New Roman"/>
          <w:b/>
          <w:sz w:val="24"/>
          <w:szCs w:val="24"/>
        </w:rPr>
        <w:t xml:space="preserve"> са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намалени</w:t>
      </w:r>
      <w:r w:rsidR="00350654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 xml:space="preserve">в сравнение с </w:t>
      </w:r>
      <w:r w:rsidR="00350654" w:rsidRPr="00BF365F">
        <w:rPr>
          <w:rFonts w:ascii="Times New Roman" w:hAnsi="Times New Roman" w:cs="Times New Roman"/>
          <w:b/>
          <w:sz w:val="24"/>
          <w:szCs w:val="24"/>
        </w:rPr>
        <w:t>отчетените за 201</w:t>
      </w:r>
      <w:r w:rsidR="00BF365F" w:rsidRPr="00BF365F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350654" w:rsidRPr="00BF365F">
        <w:rPr>
          <w:rFonts w:ascii="Times New Roman" w:hAnsi="Times New Roman" w:cs="Times New Roman"/>
          <w:b/>
          <w:sz w:val="24"/>
          <w:szCs w:val="24"/>
        </w:rPr>
        <w:t>г.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поради изхабяване на част от активите.</w:t>
      </w:r>
    </w:p>
    <w:p w:rsidR="00F55E47" w:rsidRPr="00BB654B" w:rsidRDefault="00F55E47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BA3F49" w:rsidRPr="00BF365F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BF365F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01.07.201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9</w:t>
      </w:r>
      <w:r w:rsidRPr="00BF365F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30.06.20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20</w:t>
      </w:r>
      <w:r w:rsidRPr="00BF365F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BF365F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BF36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/</w:t>
      </w:r>
    </w:p>
    <w:p w:rsidR="00BB7F8A" w:rsidRPr="009C1CB8" w:rsidRDefault="00BB7F8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</w:t>
      </w:r>
      <w:r w:rsidRPr="00BB7F8A">
        <w:rPr>
          <w:rFonts w:ascii="Times New Roman" w:hAnsi="Times New Roman" w:cs="Times New Roman"/>
          <w:b/>
          <w:sz w:val="24"/>
          <w:szCs w:val="24"/>
          <w:u w:val="single"/>
        </w:rPr>
        <w:t>не се начисляват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 w:rsidRPr="00821FAA">
        <w:rPr>
          <w:rFonts w:ascii="Times New Roman" w:hAnsi="Times New Roman" w:cs="Times New Roman"/>
          <w:sz w:val="24"/>
          <w:szCs w:val="24"/>
        </w:rPr>
        <w:t>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2E03F9">
        <w:rPr>
          <w:rFonts w:ascii="Times New Roman" w:hAnsi="Times New Roman" w:cs="Times New Roman"/>
          <w:b/>
          <w:sz w:val="24"/>
          <w:szCs w:val="24"/>
        </w:rPr>
        <w:t>-</w:t>
      </w:r>
      <w:r w:rsidR="00BB7F8A">
        <w:rPr>
          <w:rFonts w:ascii="Times New Roman" w:hAnsi="Times New Roman" w:cs="Times New Roman"/>
          <w:b/>
          <w:sz w:val="24"/>
          <w:szCs w:val="24"/>
        </w:rPr>
        <w:t>1</w:t>
      </w:r>
      <w:r w:rsidR="005B062F">
        <w:rPr>
          <w:rFonts w:ascii="Times New Roman" w:hAnsi="Times New Roman" w:cs="Times New Roman"/>
          <w:b/>
          <w:sz w:val="24"/>
          <w:szCs w:val="24"/>
        </w:rPr>
        <w:t>1</w:t>
      </w:r>
      <w:r w:rsidR="001B6C32">
        <w:rPr>
          <w:rFonts w:ascii="Times New Roman" w:hAnsi="Times New Roman" w:cs="Times New Roman"/>
          <w:b/>
          <w:sz w:val="24"/>
          <w:szCs w:val="24"/>
        </w:rPr>
        <w:t>8</w:t>
      </w:r>
      <w:r w:rsidRPr="002E03F9">
        <w:rPr>
          <w:rFonts w:ascii="Times New Roman" w:hAnsi="Times New Roman" w:cs="Times New Roman"/>
          <w:b/>
          <w:sz w:val="24"/>
          <w:szCs w:val="24"/>
        </w:rPr>
        <w:t>х.лв</w:t>
      </w:r>
      <w:r w:rsidRPr="002E03F9">
        <w:rPr>
          <w:rFonts w:ascii="Times New Roman" w:hAnsi="Times New Roman" w:cs="Times New Roman"/>
          <w:sz w:val="24"/>
          <w:szCs w:val="24"/>
        </w:rPr>
        <w:t>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в т.ч. за производство на електрическа енергия </w:t>
      </w:r>
      <w:r w:rsidR="005B062F">
        <w:rPr>
          <w:rFonts w:ascii="Times New Roman" w:hAnsi="Times New Roman" w:cs="Times New Roman"/>
          <w:sz w:val="24"/>
          <w:szCs w:val="24"/>
        </w:rPr>
        <w:t>90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х.лв.,  за производство на топлинна енергия</w:t>
      </w:r>
      <w:r w:rsidR="00350654">
        <w:rPr>
          <w:rFonts w:ascii="Times New Roman" w:hAnsi="Times New Roman" w:cs="Times New Roman"/>
          <w:sz w:val="24"/>
          <w:szCs w:val="24"/>
        </w:rPr>
        <w:t>-</w:t>
      </w:r>
      <w:r w:rsidR="005B062F">
        <w:rPr>
          <w:rFonts w:ascii="Times New Roman" w:hAnsi="Times New Roman" w:cs="Times New Roman"/>
          <w:sz w:val="24"/>
          <w:szCs w:val="24"/>
        </w:rPr>
        <w:t>28</w:t>
      </w:r>
      <w:r w:rsidR="00350654">
        <w:rPr>
          <w:rFonts w:ascii="Times New Roman" w:hAnsi="Times New Roman" w:cs="Times New Roman"/>
          <w:sz w:val="24"/>
          <w:szCs w:val="24"/>
        </w:rPr>
        <w:t>х.лв.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</w:rPr>
        <w:t>2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5B062F">
        <w:rPr>
          <w:rFonts w:ascii="Times New Roman" w:hAnsi="Times New Roman" w:cs="Times New Roman"/>
          <w:b/>
          <w:sz w:val="24"/>
          <w:szCs w:val="24"/>
        </w:rPr>
        <w:t>36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Pr="0019661D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2. РАЗХОДИ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РЕМОНТИ </w:t>
      </w:r>
    </w:p>
    <w:p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Pr="001D740F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40F">
        <w:rPr>
          <w:rFonts w:ascii="Times New Roman" w:hAnsi="Times New Roman" w:cs="Times New Roman"/>
          <w:sz w:val="24"/>
          <w:szCs w:val="24"/>
        </w:rPr>
        <w:t>Отчетените разходи за ремонт през 201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г. общо са </w:t>
      </w:r>
      <w:r>
        <w:rPr>
          <w:rFonts w:ascii="Times New Roman" w:hAnsi="Times New Roman" w:cs="Times New Roman"/>
          <w:sz w:val="24"/>
          <w:szCs w:val="24"/>
          <w:lang w:val="en-US"/>
        </w:rPr>
        <w:t>237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ил</w:t>
      </w:r>
      <w:r w:rsidRPr="001D740F">
        <w:rPr>
          <w:rFonts w:ascii="Times New Roman" w:hAnsi="Times New Roman" w:cs="Times New Roman"/>
          <w:sz w:val="24"/>
          <w:szCs w:val="24"/>
        </w:rPr>
        <w:t xml:space="preserve">.лв., в т.ч. Отнесени към производството на електрическа енергия </w:t>
      </w:r>
      <w:r>
        <w:rPr>
          <w:rFonts w:ascii="Times New Roman" w:hAnsi="Times New Roman" w:cs="Times New Roman"/>
          <w:sz w:val="24"/>
          <w:szCs w:val="24"/>
          <w:lang w:val="en-US"/>
        </w:rPr>
        <w:t>206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ил</w:t>
      </w:r>
      <w:r w:rsidRPr="001D740F">
        <w:rPr>
          <w:rFonts w:ascii="Times New Roman" w:hAnsi="Times New Roman" w:cs="Times New Roman"/>
          <w:sz w:val="24"/>
          <w:szCs w:val="24"/>
        </w:rPr>
        <w:t xml:space="preserve">.лв. ,към производството на топлинна енергия </w:t>
      </w: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ил</w:t>
      </w:r>
      <w:r w:rsidRPr="001D740F">
        <w:rPr>
          <w:rFonts w:ascii="Times New Roman" w:hAnsi="Times New Roman" w:cs="Times New Roman"/>
          <w:sz w:val="24"/>
          <w:szCs w:val="24"/>
        </w:rPr>
        <w:t xml:space="preserve">.лв., и към преноса на топлинна енергия </w:t>
      </w:r>
      <w:r>
        <w:rPr>
          <w:rFonts w:ascii="Times New Roman" w:hAnsi="Times New Roman" w:cs="Times New Roman"/>
          <w:sz w:val="24"/>
          <w:szCs w:val="24"/>
          <w:lang w:val="en-US"/>
        </w:rPr>
        <w:t>17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  <w:r>
        <w:rPr>
          <w:rFonts w:ascii="Times New Roman" w:hAnsi="Times New Roman" w:cs="Times New Roman"/>
          <w:sz w:val="24"/>
          <w:szCs w:val="24"/>
        </w:rPr>
        <w:t xml:space="preserve"> Прилагаме отчет на ремонтна и инвестиционна  програма за </w:t>
      </w:r>
      <w:r w:rsidRPr="0035566A">
        <w:rPr>
          <w:rFonts w:ascii="Times New Roman" w:hAnsi="Times New Roman" w:cs="Times New Roman"/>
          <w:sz w:val="24"/>
          <w:szCs w:val="24"/>
        </w:rPr>
        <w:t>2019 г.</w:t>
      </w:r>
    </w:p>
    <w:p w:rsidR="000423F1" w:rsidRPr="0019661D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Pr="00E13519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19">
        <w:rPr>
          <w:rFonts w:ascii="Times New Roman" w:hAnsi="Times New Roman" w:cs="Times New Roman"/>
          <w:b/>
          <w:sz w:val="24"/>
          <w:szCs w:val="24"/>
        </w:rPr>
        <w:t>Прогнозните разх</w:t>
      </w:r>
      <w:r>
        <w:rPr>
          <w:rFonts w:ascii="Times New Roman" w:hAnsi="Times New Roman" w:cs="Times New Roman"/>
          <w:b/>
          <w:sz w:val="24"/>
          <w:szCs w:val="24"/>
        </w:rPr>
        <w:t xml:space="preserve">оди за ремонт в производството за ценовия период 01.07.2020 </w:t>
      </w:r>
      <w:r w:rsidRPr="00E13519">
        <w:rPr>
          <w:rFonts w:ascii="Times New Roman" w:hAnsi="Times New Roman" w:cs="Times New Roman"/>
          <w:b/>
          <w:sz w:val="24"/>
          <w:szCs w:val="24"/>
        </w:rPr>
        <w:t>г.-30.06.20</w:t>
      </w:r>
      <w:r>
        <w:rPr>
          <w:rFonts w:ascii="Times New Roman" w:hAnsi="Times New Roman" w:cs="Times New Roman"/>
          <w:b/>
          <w:sz w:val="24"/>
          <w:szCs w:val="24"/>
        </w:rPr>
        <w:t xml:space="preserve">21 </w:t>
      </w:r>
      <w:r w:rsidRPr="00E13519">
        <w:rPr>
          <w:rFonts w:ascii="Times New Roman" w:hAnsi="Times New Roman" w:cs="Times New Roman"/>
          <w:b/>
          <w:sz w:val="24"/>
          <w:szCs w:val="24"/>
        </w:rPr>
        <w:t xml:space="preserve">г. са </w:t>
      </w:r>
      <w:r w:rsidR="000668CA">
        <w:rPr>
          <w:rFonts w:ascii="Times New Roman" w:hAnsi="Times New Roman" w:cs="Times New Roman"/>
          <w:b/>
          <w:sz w:val="24"/>
          <w:szCs w:val="24"/>
        </w:rPr>
        <w:t xml:space="preserve">657 </w:t>
      </w:r>
      <w:proofErr w:type="spellStart"/>
      <w:r w:rsidRPr="0035566A">
        <w:rPr>
          <w:rFonts w:ascii="Times New Roman" w:hAnsi="Times New Roman" w:cs="Times New Roman"/>
          <w:b/>
          <w:sz w:val="24"/>
          <w:szCs w:val="24"/>
        </w:rPr>
        <w:t>хил</w:t>
      </w:r>
      <w:proofErr w:type="spellEnd"/>
      <w:r w:rsidRPr="0035566A">
        <w:rPr>
          <w:rFonts w:ascii="Times New Roman" w:hAnsi="Times New Roman" w:cs="Times New Roman"/>
          <w:b/>
          <w:sz w:val="24"/>
          <w:szCs w:val="24"/>
        </w:rPr>
        <w:t xml:space="preserve"> .лв.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519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>537</w:t>
      </w:r>
      <w:r w:rsidRPr="0035566A">
        <w:rPr>
          <w:rFonts w:ascii="Times New Roman" w:hAnsi="Times New Roman" w:cs="Times New Roman"/>
          <w:sz w:val="24"/>
          <w:szCs w:val="24"/>
        </w:rPr>
        <w:t xml:space="preserve"> хил.лв., за ремонт в производството на топлинна енергия – 20 хил.лв. и общо за двата продукта 100 хил.лв.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6A">
        <w:rPr>
          <w:rFonts w:ascii="Times New Roman" w:hAnsi="Times New Roman" w:cs="Times New Roman"/>
          <w:b/>
          <w:sz w:val="24"/>
          <w:szCs w:val="24"/>
        </w:rPr>
        <w:t>Прогнозните разходи за ремонт в преноса – 80 хил.лв.</w:t>
      </w:r>
    </w:p>
    <w:p w:rsidR="000423F1" w:rsidRPr="0035566A" w:rsidRDefault="000668CA" w:rsidP="000423F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0423F1" w:rsidRPr="00342D85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6A">
        <w:rPr>
          <w:rFonts w:ascii="Times New Roman" w:hAnsi="Times New Roman" w:cs="Times New Roman"/>
          <w:b/>
          <w:sz w:val="24"/>
          <w:szCs w:val="24"/>
        </w:rPr>
        <w:t xml:space="preserve">Общо разходи за ремонт </w:t>
      </w:r>
      <w:r w:rsidR="000668CA">
        <w:rPr>
          <w:rFonts w:ascii="Times New Roman" w:hAnsi="Times New Roman" w:cs="Times New Roman"/>
          <w:b/>
          <w:sz w:val="24"/>
          <w:szCs w:val="24"/>
        </w:rPr>
        <w:t>737</w:t>
      </w:r>
      <w:r w:rsidRPr="0035566A">
        <w:rPr>
          <w:rFonts w:ascii="Times New Roman" w:hAnsi="Times New Roman" w:cs="Times New Roman"/>
          <w:b/>
          <w:sz w:val="24"/>
          <w:szCs w:val="24"/>
        </w:rPr>
        <w:t>хил.лв.</w:t>
      </w:r>
    </w:p>
    <w:p w:rsidR="000423F1" w:rsidRPr="00724D44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423F1" w:rsidRPr="00724D44" w:rsidRDefault="000423F1" w:rsidP="000423F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D44">
        <w:rPr>
          <w:rFonts w:ascii="Times New Roman" w:hAnsi="Times New Roman" w:cs="Times New Roman"/>
          <w:b/>
          <w:sz w:val="24"/>
          <w:szCs w:val="24"/>
        </w:rPr>
        <w:t>РАЗХОДИ ОТНЕСЕНИ КЪМ ЕЛЕКТРИЧЕСКАТА ЕНЕРГИЯ</w:t>
      </w:r>
    </w:p>
    <w:p w:rsidR="000423F1" w:rsidRPr="00724D44" w:rsidRDefault="000423F1" w:rsidP="000423F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940DD">
        <w:rPr>
          <w:rFonts w:ascii="Times New Roman" w:hAnsi="Times New Roman" w:cs="Times New Roman"/>
          <w:sz w:val="24"/>
          <w:szCs w:val="24"/>
        </w:rPr>
        <w:t>Условно постоянните разходи, отнесени към електрическата енергия, включват регулярно</w:t>
      </w:r>
      <w:r>
        <w:rPr>
          <w:rFonts w:ascii="Times New Roman" w:hAnsi="Times New Roman" w:cs="Times New Roman"/>
          <w:sz w:val="24"/>
          <w:szCs w:val="24"/>
        </w:rPr>
        <w:t xml:space="preserve"> задължително техническо</w:t>
      </w:r>
      <w:r w:rsidRPr="005940DD">
        <w:rPr>
          <w:rFonts w:ascii="Times New Roman" w:hAnsi="Times New Roman" w:cs="Times New Roman"/>
          <w:sz w:val="24"/>
          <w:szCs w:val="24"/>
        </w:rPr>
        <w:t xml:space="preserve"> обслужване</w:t>
      </w:r>
      <w:r>
        <w:rPr>
          <w:rFonts w:ascii="Times New Roman" w:hAnsi="Times New Roman" w:cs="Times New Roman"/>
          <w:sz w:val="24"/>
          <w:szCs w:val="24"/>
        </w:rPr>
        <w:t xml:space="preserve">, ремонт и поддръжка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газо-</w:t>
      </w:r>
      <w:r w:rsidRPr="005940DD">
        <w:rPr>
          <w:rFonts w:ascii="Times New Roman" w:hAnsi="Times New Roman" w:cs="Times New Roman"/>
          <w:sz w:val="24"/>
          <w:szCs w:val="24"/>
        </w:rPr>
        <w:t>бутален</w:t>
      </w:r>
      <w:proofErr w:type="spellEnd"/>
      <w:r w:rsidRPr="005940DD">
        <w:rPr>
          <w:rFonts w:ascii="Times New Roman" w:hAnsi="Times New Roman" w:cs="Times New Roman"/>
          <w:sz w:val="24"/>
          <w:szCs w:val="24"/>
        </w:rPr>
        <w:t xml:space="preserve"> двига</w:t>
      </w:r>
      <w:r>
        <w:rPr>
          <w:rFonts w:ascii="Times New Roman" w:hAnsi="Times New Roman" w:cs="Times New Roman"/>
          <w:sz w:val="24"/>
          <w:szCs w:val="24"/>
        </w:rPr>
        <w:t xml:space="preserve">тел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16V25SG</w:t>
      </w:r>
      <w:r w:rsidRPr="005940DD">
        <w:rPr>
          <w:rFonts w:ascii="Times New Roman" w:hAnsi="Times New Roman" w:cs="Times New Roman"/>
          <w:sz w:val="24"/>
          <w:szCs w:val="24"/>
        </w:rPr>
        <w:t xml:space="preserve">, според </w:t>
      </w:r>
      <w:r>
        <w:rPr>
          <w:rFonts w:ascii="Times New Roman" w:hAnsi="Times New Roman" w:cs="Times New Roman"/>
          <w:sz w:val="24"/>
          <w:szCs w:val="24"/>
        </w:rPr>
        <w:t>техническата спецификация и инструкциите за експлоатация и поддръжка от п</w:t>
      </w:r>
      <w:r w:rsidRPr="005940DD">
        <w:rPr>
          <w:rFonts w:ascii="Times New Roman" w:hAnsi="Times New Roman" w:cs="Times New Roman"/>
          <w:sz w:val="24"/>
          <w:szCs w:val="24"/>
        </w:rPr>
        <w:t>роизводителя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наработените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часове на двигателя се извършват различни по обем и стойност технически обслужвания, разделени по </w:t>
      </w:r>
      <w:r w:rsidRPr="005940DD">
        <w:rPr>
          <w:rFonts w:ascii="Times New Roman" w:hAnsi="Times New Roman" w:cs="Times New Roman"/>
          <w:sz w:val="24"/>
          <w:szCs w:val="24"/>
        </w:rPr>
        <w:t xml:space="preserve">интервал на всеки 625, 1 250, 2 500, 5 000, 10 000 и 20 000 часа работа, разходите за 40 000 и 80 000 мото-часа работа (основен ремонт), включващи останалите видове ремонти са отнесени към инвестиции. 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5940DD">
        <w:rPr>
          <w:rFonts w:ascii="Times New Roman" w:hAnsi="Times New Roman" w:cs="Times New Roman"/>
          <w:sz w:val="24"/>
          <w:szCs w:val="24"/>
        </w:rPr>
        <w:t>Разходи за запалителни свещи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940DD">
        <w:rPr>
          <w:rFonts w:ascii="Times New Roman" w:hAnsi="Times New Roman" w:cs="Times New Roman"/>
          <w:sz w:val="24"/>
          <w:szCs w:val="24"/>
        </w:rPr>
        <w:t xml:space="preserve">Разходите за запалителни свещи са определени в размер на </w:t>
      </w:r>
      <w:r w:rsidRPr="0035566A">
        <w:rPr>
          <w:rFonts w:ascii="Times New Roman" w:hAnsi="Times New Roman" w:cs="Times New Roman"/>
          <w:sz w:val="24"/>
          <w:szCs w:val="24"/>
        </w:rPr>
        <w:t>6.7, хил.лв. Съгласно техническата спецификация и работните часове на двигателя е необходима тяхната подмяна всеки месец.</w:t>
      </w:r>
    </w:p>
    <w:p w:rsidR="000423F1" w:rsidRPr="0035566A" w:rsidRDefault="000423F1" w:rsidP="000423F1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6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>2.2.1. Разходи за моторно масло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5566A">
        <w:rPr>
          <w:rFonts w:ascii="Times New Roman" w:hAnsi="Times New Roman" w:cs="Times New Roman"/>
          <w:sz w:val="24"/>
          <w:szCs w:val="24"/>
        </w:rPr>
        <w:t>Планираният общ разход за моторно масло през регулаторния период от 01.07.2020 до 30.06.2021 г. възлиза на 90 хил.лв. Той е формиран от разхода на масло, съгласно документацията, предоставена от производителя, и предписаната задължителна периодична подмяна на отработеното моторно масло на всеки 2 000 мото-часа, в съответствие с изискванията на производителя за превантивна поддръжка.</w:t>
      </w:r>
    </w:p>
    <w:p w:rsidR="000423F1" w:rsidRPr="0035566A" w:rsidRDefault="000423F1" w:rsidP="000423F1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60"/>
        <w:jc w:val="both"/>
        <w:rPr>
          <w:b/>
          <w:szCs w:val="24"/>
          <w:u w:val="single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>2.2.2. Разходи за турбинно масло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Газо-буталния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двигател </w:t>
      </w:r>
      <w:proofErr w:type="spellStart"/>
      <w:r w:rsidRPr="0035566A"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16V25SG </w:t>
      </w:r>
      <w:r w:rsidRPr="0035566A">
        <w:rPr>
          <w:rFonts w:ascii="Times New Roman" w:hAnsi="Times New Roman" w:cs="Times New Roman"/>
          <w:sz w:val="24"/>
          <w:szCs w:val="24"/>
        </w:rPr>
        <w:t xml:space="preserve">работи с принудително пълнене на въздух за горене, което се осъществява посредством два турбокомпресора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ABB VTR-254-11 </w:t>
      </w:r>
      <w:r w:rsidRPr="0035566A">
        <w:rPr>
          <w:rFonts w:ascii="Times New Roman" w:hAnsi="Times New Roman" w:cs="Times New Roman"/>
          <w:sz w:val="24"/>
          <w:szCs w:val="24"/>
        </w:rPr>
        <w:t xml:space="preserve">с обороти при номинален товар от 29 000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rpm </w:t>
      </w:r>
      <w:r w:rsidRPr="0035566A">
        <w:rPr>
          <w:rFonts w:ascii="Times New Roman" w:hAnsi="Times New Roman" w:cs="Times New Roman"/>
          <w:sz w:val="24"/>
          <w:szCs w:val="24"/>
        </w:rPr>
        <w:t xml:space="preserve">и температура 510 </w:t>
      </w:r>
      <w:r w:rsidRPr="0035566A">
        <w:rPr>
          <w:rFonts w:ascii="Calibri" w:hAnsi="Calibri" w:cs="Calibri"/>
          <w:sz w:val="24"/>
          <w:szCs w:val="24"/>
        </w:rPr>
        <w:t>°</w:t>
      </w:r>
      <w:r w:rsidRPr="0035566A">
        <w:rPr>
          <w:rFonts w:ascii="Times New Roman" w:hAnsi="Times New Roman" w:cs="Times New Roman"/>
          <w:sz w:val="24"/>
          <w:szCs w:val="24"/>
        </w:rPr>
        <w:t>С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5566A">
        <w:rPr>
          <w:rFonts w:ascii="Times New Roman" w:hAnsi="Times New Roman" w:cs="Times New Roman"/>
          <w:sz w:val="24"/>
          <w:szCs w:val="24"/>
        </w:rPr>
        <w:t xml:space="preserve"> Съгласно техническата инструкция на производителя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ABB </w:t>
      </w:r>
      <w:r w:rsidRPr="0035566A">
        <w:rPr>
          <w:rFonts w:ascii="Times New Roman" w:hAnsi="Times New Roman" w:cs="Times New Roman"/>
          <w:sz w:val="24"/>
          <w:szCs w:val="24"/>
        </w:rPr>
        <w:t>е необходимо, турбинното масло да се подменя при плановите технически обслужвания на двигателя. Планираният общ разход на турбинно масло е 20 хил. лв.</w:t>
      </w:r>
    </w:p>
    <w:p w:rsidR="000423F1" w:rsidRPr="0035566A" w:rsidRDefault="000423F1" w:rsidP="000423F1">
      <w:pPr>
        <w:spacing w:before="120" w:after="60" w:line="240" w:lineRule="auto"/>
        <w:jc w:val="both"/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>2.2.3. Разходи за подмяна на маслото на лагерите на електрическия генератор LSA-56-M6-6P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5566A">
        <w:rPr>
          <w:rFonts w:ascii="Times New Roman" w:hAnsi="Times New Roman" w:cs="Times New Roman"/>
          <w:sz w:val="24"/>
          <w:szCs w:val="24"/>
        </w:rPr>
        <w:t xml:space="preserve">Съгласно техническата инструкция на производителя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Leroy-Somer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>, планираният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566A">
        <w:rPr>
          <w:rFonts w:ascii="Times New Roman" w:hAnsi="Times New Roman" w:cs="Times New Roman"/>
          <w:sz w:val="24"/>
          <w:szCs w:val="24"/>
        </w:rPr>
        <w:t>разход на маслото е 10 хил. 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DE5F8C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>2.2.4. Разходи за трансформаторно масло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5566A">
        <w:rPr>
          <w:rFonts w:ascii="Times New Roman" w:hAnsi="Times New Roman" w:cs="Times New Roman"/>
          <w:sz w:val="24"/>
          <w:szCs w:val="24"/>
        </w:rPr>
        <w:t xml:space="preserve"> Планираният разход за трансформаторно масло е 10 хил. лв., съгласно техническата инструкция за експлоатация на повишаващ трансформатор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ABB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6/20 kV, </w:t>
      </w:r>
      <w:r w:rsidRPr="0035566A">
        <w:rPr>
          <w:rFonts w:ascii="Times New Roman" w:hAnsi="Times New Roman" w:cs="Times New Roman"/>
          <w:sz w:val="24"/>
          <w:szCs w:val="24"/>
        </w:rPr>
        <w:t xml:space="preserve">част от инсталацията за високо ефективно комбинирано производство с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газо-бутален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двигател </w:t>
      </w:r>
      <w:proofErr w:type="spellStart"/>
      <w:r w:rsidRPr="0035566A"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16V25SG</w:t>
      </w:r>
      <w:r w:rsidRPr="0035566A">
        <w:rPr>
          <w:rFonts w:ascii="Times New Roman" w:hAnsi="Times New Roman" w:cs="Times New Roman"/>
          <w:sz w:val="24"/>
          <w:szCs w:val="24"/>
        </w:rPr>
        <w:t>.</w:t>
      </w:r>
    </w:p>
    <w:p w:rsidR="000423F1" w:rsidRDefault="000423F1" w:rsidP="000423F1">
      <w:pPr>
        <w:spacing w:before="120"/>
        <w:jc w:val="both"/>
        <w:rPr>
          <w:szCs w:val="24"/>
        </w:rPr>
      </w:pPr>
    </w:p>
    <w:p w:rsidR="000423F1" w:rsidRPr="005940DD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5940DD">
        <w:rPr>
          <w:rFonts w:ascii="Times New Roman" w:hAnsi="Times New Roman" w:cs="Times New Roman"/>
          <w:sz w:val="24"/>
          <w:szCs w:val="24"/>
        </w:rPr>
        <w:t>Разходи за ремонти и рехабилитация</w:t>
      </w:r>
    </w:p>
    <w:p w:rsidR="000423F1" w:rsidRPr="005940DD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r w:rsidRPr="005940DD">
        <w:rPr>
          <w:rFonts w:ascii="Times New Roman" w:hAnsi="Times New Roman" w:cs="Times New Roman"/>
          <w:sz w:val="24"/>
          <w:szCs w:val="24"/>
        </w:rPr>
        <w:t xml:space="preserve">Разходи за рехабилитация на системата за мониторинг и управление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WECS 3000 </w:t>
      </w:r>
      <w:r w:rsidRPr="005940DD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940DD">
        <w:rPr>
          <w:rFonts w:ascii="Times New Roman" w:hAnsi="Times New Roman" w:cs="Times New Roman"/>
          <w:sz w:val="24"/>
          <w:szCs w:val="24"/>
        </w:rPr>
        <w:t>когенерационната</w:t>
      </w:r>
      <w:proofErr w:type="spellEnd"/>
      <w:r w:rsidRPr="005940DD">
        <w:rPr>
          <w:rFonts w:ascii="Times New Roman" w:hAnsi="Times New Roman" w:cs="Times New Roman"/>
          <w:sz w:val="24"/>
          <w:szCs w:val="24"/>
        </w:rPr>
        <w:t xml:space="preserve"> инсталация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16V25SG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WECS 3000 </w:t>
      </w:r>
      <w:r>
        <w:rPr>
          <w:rFonts w:ascii="Times New Roman" w:hAnsi="Times New Roman" w:cs="Times New Roman"/>
          <w:sz w:val="24"/>
          <w:szCs w:val="24"/>
        </w:rPr>
        <w:t>представлява интегрирана автономна система за управление на производството на високо ефективна комбинирана електрическа енергия.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Предвид изтичащия период</w:t>
      </w:r>
      <w:r w:rsidRPr="005940DD">
        <w:rPr>
          <w:rFonts w:ascii="Times New Roman" w:hAnsi="Times New Roman" w:cs="Times New Roman"/>
          <w:sz w:val="24"/>
          <w:szCs w:val="24"/>
        </w:rPr>
        <w:t xml:space="preserve"> на поддръжка на използваната версия на системата за мониторинг и управление (съгласно обявената търговска политика на производителя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 w:rsidRPr="005940DD">
        <w:rPr>
          <w:rFonts w:ascii="Times New Roman" w:hAnsi="Times New Roman" w:cs="Times New Roman"/>
          <w:sz w:val="24"/>
          <w:szCs w:val="24"/>
        </w:rPr>
        <w:t>) на двигателя ще бъде извършена пълна ревизия и подмяна на модули, критични за безаварийната работа на двигателя.</w:t>
      </w:r>
      <w:r>
        <w:rPr>
          <w:rFonts w:ascii="Times New Roman" w:hAnsi="Times New Roman" w:cs="Times New Roman"/>
          <w:sz w:val="24"/>
          <w:szCs w:val="24"/>
        </w:rPr>
        <w:t xml:space="preserve"> Предвидените разходи по тази точка са определени </w:t>
      </w:r>
      <w:r w:rsidRPr="0035566A">
        <w:rPr>
          <w:rFonts w:ascii="Times New Roman" w:hAnsi="Times New Roman" w:cs="Times New Roman"/>
          <w:sz w:val="24"/>
          <w:szCs w:val="24"/>
        </w:rPr>
        <w:t xml:space="preserve">на 160 хил.лв., като тези разходи представляват една част от общата необходимост за подмяна на електронните модули на системата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>WECS 3000.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2.3.3. Разходи за ремонт на електрическите уредби 6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Pr="0035566A">
        <w:rPr>
          <w:rFonts w:ascii="Times New Roman" w:hAnsi="Times New Roman" w:cs="Times New Roman"/>
          <w:sz w:val="24"/>
          <w:szCs w:val="24"/>
        </w:rPr>
        <w:t>, част от инсталацията за високо ефективно комбинирано производство на електрическа енергия, в размер на 10 хил. 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2.3.4. Техническо обслужване на  турбокомпресорите ABB VTR-254-11. За периода се предвижда задължително техническо обслужване на турбокомпресорите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>ABB VTR-254-11</w:t>
      </w:r>
      <w:r w:rsidRPr="0035566A">
        <w:rPr>
          <w:rFonts w:ascii="Times New Roman" w:hAnsi="Times New Roman" w:cs="Times New Roman"/>
          <w:sz w:val="24"/>
          <w:szCs w:val="24"/>
        </w:rPr>
        <w:t>. Предвидените разходи по тази точка възлизат на 80 хил.лв.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A7734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2.3.5. Техническо обслужване 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газо-бутален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двигател </w:t>
      </w:r>
      <w:proofErr w:type="spellStart"/>
      <w:r w:rsidRPr="0035566A"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16V25SG</w:t>
      </w:r>
      <w:r w:rsidRPr="0035566A">
        <w:rPr>
          <w:rFonts w:ascii="Times New Roman" w:hAnsi="Times New Roman" w:cs="Times New Roman"/>
          <w:sz w:val="24"/>
          <w:szCs w:val="24"/>
        </w:rPr>
        <w:t xml:space="preserve">. За периода се предвижда задължително техническо обслужване 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газо-бутален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двигател </w:t>
      </w:r>
      <w:proofErr w:type="spellStart"/>
      <w:r w:rsidRPr="0035566A">
        <w:rPr>
          <w:rFonts w:ascii="Times New Roman" w:hAnsi="Times New Roman" w:cs="Times New Roman"/>
          <w:sz w:val="24"/>
          <w:szCs w:val="24"/>
          <w:lang w:val="en-US"/>
        </w:rPr>
        <w:t>Wartsila</w:t>
      </w:r>
      <w:proofErr w:type="spellEnd"/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16V25SG</w:t>
      </w:r>
      <w:r w:rsidRPr="0035566A">
        <w:rPr>
          <w:rFonts w:ascii="Times New Roman" w:hAnsi="Times New Roman" w:cs="Times New Roman"/>
          <w:sz w:val="24"/>
          <w:szCs w:val="24"/>
        </w:rPr>
        <w:t>, в т.ч. но и не само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35566A">
        <w:rPr>
          <w:rFonts w:ascii="Times New Roman" w:hAnsi="Times New Roman" w:cs="Times New Roman"/>
          <w:sz w:val="24"/>
          <w:szCs w:val="24"/>
        </w:rPr>
        <w:t xml:space="preserve">диагностика 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двигатиля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, подмяна на основни лагери, подмяна 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биелни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лагери, подмяна на 32 бр. смукателни клапани, подмяна на 32 бр. изпускателни клапани, подмяна на 64 бр. бутални сегменти, подмяна на 2 бр. цилиндрови глави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566A">
        <w:rPr>
          <w:rFonts w:ascii="Times New Roman" w:hAnsi="Times New Roman" w:cs="Times New Roman"/>
          <w:sz w:val="24"/>
          <w:szCs w:val="24"/>
        </w:rPr>
        <w:t>и др. дейности, съгласно техническата инструкция на производителя. Извършването на техническите мероприятия съгласно инструкцията на производителя е задължително, чрез което се гарантира безаварийна работа на инсталацията за високо ефективно комбинирано производство на топлинна и електрическа енергия. Планираните разходи по тази точка са 150 хил. лв.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6C1855" w:rsidRDefault="000423F1" w:rsidP="000423F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855">
        <w:rPr>
          <w:rFonts w:ascii="Times New Roman" w:hAnsi="Times New Roman" w:cs="Times New Roman"/>
          <w:b/>
          <w:sz w:val="24"/>
          <w:szCs w:val="24"/>
        </w:rPr>
        <w:t>РАЗХОДИ ОТНЕСЕНИ КЪМ ТОПЛИННАТА ЕНЕРГИЯ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отнесени, към производството на топлинна енергия са пряко свързани с поддържането в работоспособно състояние на основните производствени мощности за топлинна енергия: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водогреен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котел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Start"/>
      <w:r w:rsidRPr="00A664FC">
        <w:rPr>
          <w:rFonts w:ascii="Times New Roman" w:hAnsi="Times New Roman" w:cs="Times New Roman"/>
          <w:sz w:val="24"/>
          <w:szCs w:val="24"/>
        </w:rPr>
        <w:t>ertsch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парен котел ПКГ-4 и парен котел ПТ-10.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 Техническо обслужване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водогреен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котел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Bertsch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Съгласно ремонтната програма на дружеството се предвижда извършване на следните технически мероприятия: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дефектовка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въздуховодите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системата за подаване на въздух за горене, техническо обслужване на два броя въздушни вентилатори, диагностика на горивната уредба съгласно техническата инструкция на производителя </w:t>
      </w:r>
      <w:r w:rsidRPr="00A664FC">
        <w:rPr>
          <w:rFonts w:ascii="Times New Roman" w:hAnsi="Times New Roman" w:cs="Times New Roman"/>
          <w:sz w:val="24"/>
          <w:szCs w:val="24"/>
        </w:rPr>
        <w:t xml:space="preserve">RAY </w:t>
      </w:r>
      <w:proofErr w:type="spellStart"/>
      <w:r w:rsidRPr="00A664FC">
        <w:rPr>
          <w:rFonts w:ascii="Times New Roman" w:hAnsi="Times New Roman" w:cs="Times New Roman"/>
          <w:sz w:val="24"/>
          <w:szCs w:val="24"/>
        </w:rPr>
        <w:t>Öl</w:t>
      </w:r>
      <w:proofErr w:type="spellEnd"/>
      <w:r w:rsidRPr="00A664FC">
        <w:rPr>
          <w:rFonts w:ascii="Times New Roman" w:hAnsi="Times New Roman" w:cs="Times New Roman"/>
          <w:sz w:val="24"/>
          <w:szCs w:val="24"/>
        </w:rPr>
        <w:t xml:space="preserve">- &amp; </w:t>
      </w:r>
      <w:proofErr w:type="spellStart"/>
      <w:r w:rsidRPr="00A664FC">
        <w:rPr>
          <w:rFonts w:ascii="Times New Roman" w:hAnsi="Times New Roman" w:cs="Times New Roman"/>
          <w:sz w:val="24"/>
          <w:szCs w:val="24"/>
        </w:rPr>
        <w:t>Gasbrenner</w:t>
      </w:r>
      <w:proofErr w:type="spellEnd"/>
      <w:r w:rsidRPr="00A66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4FC">
        <w:rPr>
          <w:rFonts w:ascii="Times New Roman" w:hAnsi="Times New Roman" w:cs="Times New Roman"/>
          <w:sz w:val="24"/>
          <w:szCs w:val="24"/>
        </w:rPr>
        <w:t>GmbH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подмяна на нагревни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понърхности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част от тръбния сноп, ремонт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рециркулационна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помпа. Планираните разходи по тази точка </w:t>
      </w:r>
      <w:r w:rsidRPr="0035566A">
        <w:rPr>
          <w:rFonts w:ascii="Times New Roman" w:hAnsi="Times New Roman" w:cs="Times New Roman"/>
          <w:sz w:val="24"/>
          <w:szCs w:val="24"/>
        </w:rPr>
        <w:t>са 10 хил.лв.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2.4.2 Техническо обслужване на парен котел ПКГ-4. Съгласно ремонтната програма на дружеството се планира подмяна на нагревни повърхности и частичен ремонт 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утилизатора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на </w:t>
      </w:r>
      <w:r w:rsidRPr="0035566A">
        <w:rPr>
          <w:rFonts w:ascii="Times New Roman" w:hAnsi="Times New Roman" w:cs="Times New Roman"/>
          <w:sz w:val="24"/>
          <w:szCs w:val="24"/>
        </w:rPr>
        <w:lastRenderedPageBreak/>
        <w:t xml:space="preserve">димни газове на парен котел ПКГ-4, диагностика на горивната уредба </w:t>
      </w:r>
      <w:proofErr w:type="spellStart"/>
      <w:r w:rsidRPr="0035566A">
        <w:rPr>
          <w:rFonts w:ascii="Times New Roman" w:hAnsi="Times New Roman" w:cs="Times New Roman"/>
          <w:sz w:val="24"/>
          <w:szCs w:val="24"/>
          <w:lang w:val="en-US"/>
        </w:rPr>
        <w:t>Saacke</w:t>
      </w:r>
      <w:proofErr w:type="spellEnd"/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5566A">
        <w:rPr>
          <w:rFonts w:ascii="Times New Roman" w:hAnsi="Times New Roman" w:cs="Times New Roman"/>
          <w:sz w:val="24"/>
          <w:szCs w:val="24"/>
        </w:rPr>
        <w:t>диагностика на системата за КИП и А. Планираните разходи по тази точка са 2 хил. 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4C4977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2.4.3 Техническо обслужване на парен котел ПТ-10. Дружеството планира да извърши частичен ремонт на нагревните повърхности на парния котел, ремонт на един брой димен вентилатор, ремонт на два броя мултициклони, ремонт 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скарната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горивна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уребда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>, реконструкция и ремонт на транспортната лентовата система за подаване на горивото, към котела. Планираните разходи по тази точка са в размер на 8 хил. лв.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Default="000423F1" w:rsidP="000423F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 РАЗХОДИ ЗА ДВАТА ПРОДУКТА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общите разходи за двата продукта, дружеството планира да извърши: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6C1855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2.5.1 </w:t>
      </w:r>
      <w:r w:rsidRPr="006C1855">
        <w:rPr>
          <w:rFonts w:ascii="Times New Roman" w:hAnsi="Times New Roman" w:cs="Times New Roman"/>
          <w:sz w:val="24"/>
          <w:szCs w:val="24"/>
        </w:rPr>
        <w:t xml:space="preserve">Разходи за рехабилитация на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топлообменните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апарати на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когенерационната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инсталация. С цел поддържане на максимална стойност на общата термична ефективност на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когенерациония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агрегат, през периода 01.07.2020 – 30.06.2021 е предвидена рехабилитация на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топлообменните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апарати по хода на мрежова вода, които служат за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утилизация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на топлинната енергия и осигуряват работата на двигателя. Предвидените дейности са ревизия,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дефектовка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и рехабилитация/подмяна на нагревни повърхности на:</w:t>
      </w:r>
    </w:p>
    <w:p w:rsidR="000423F1" w:rsidRPr="006C1855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855">
        <w:rPr>
          <w:rFonts w:ascii="Times New Roman" w:hAnsi="Times New Roman" w:cs="Times New Roman"/>
          <w:sz w:val="24"/>
          <w:szCs w:val="24"/>
        </w:rPr>
        <w:t>-</w:t>
      </w:r>
      <w:r w:rsidRPr="006C1855">
        <w:rPr>
          <w:rFonts w:ascii="Times New Roman" w:hAnsi="Times New Roman" w:cs="Times New Roman"/>
          <w:sz w:val="24"/>
          <w:szCs w:val="24"/>
        </w:rPr>
        <w:tab/>
        <w:t>Охладител на двигателното масло;</w:t>
      </w:r>
    </w:p>
    <w:p w:rsidR="000423F1" w:rsidRPr="006C1855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855">
        <w:rPr>
          <w:rFonts w:ascii="Times New Roman" w:hAnsi="Times New Roman" w:cs="Times New Roman"/>
          <w:sz w:val="24"/>
          <w:szCs w:val="24"/>
        </w:rPr>
        <w:t>-</w:t>
      </w:r>
      <w:r w:rsidRPr="006C1855">
        <w:rPr>
          <w:rFonts w:ascii="Times New Roman" w:hAnsi="Times New Roman" w:cs="Times New Roman"/>
          <w:sz w:val="24"/>
          <w:szCs w:val="24"/>
        </w:rPr>
        <w:tab/>
        <w:t>Охладител на водните ризи;</w:t>
      </w:r>
    </w:p>
    <w:p w:rsidR="000423F1" w:rsidRPr="006C1855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855">
        <w:rPr>
          <w:rFonts w:ascii="Times New Roman" w:hAnsi="Times New Roman" w:cs="Times New Roman"/>
          <w:sz w:val="24"/>
          <w:szCs w:val="24"/>
        </w:rPr>
        <w:t>-</w:t>
      </w:r>
      <w:r w:rsidRPr="006C185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Доохладител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утилизатор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на димните газове.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855">
        <w:rPr>
          <w:rFonts w:ascii="Times New Roman" w:hAnsi="Times New Roman" w:cs="Times New Roman"/>
          <w:sz w:val="24"/>
          <w:szCs w:val="24"/>
        </w:rPr>
        <w:t xml:space="preserve">Общата стойност на предвидените разходи по тази точка, предвиждащи пълна подмяна на </w:t>
      </w:r>
      <w:proofErr w:type="spellStart"/>
      <w:r w:rsidRPr="006C1855">
        <w:rPr>
          <w:rFonts w:ascii="Times New Roman" w:hAnsi="Times New Roman" w:cs="Times New Roman"/>
          <w:sz w:val="24"/>
          <w:szCs w:val="24"/>
        </w:rPr>
        <w:t>утилизатора</w:t>
      </w:r>
      <w:proofErr w:type="spellEnd"/>
      <w:r w:rsidRPr="006C1855">
        <w:rPr>
          <w:rFonts w:ascii="Times New Roman" w:hAnsi="Times New Roman" w:cs="Times New Roman"/>
          <w:sz w:val="24"/>
          <w:szCs w:val="24"/>
        </w:rPr>
        <w:t xml:space="preserve"> на димни газове, възлиза на </w:t>
      </w:r>
      <w:r w:rsidRPr="0035566A">
        <w:rPr>
          <w:rFonts w:ascii="Times New Roman" w:hAnsi="Times New Roman" w:cs="Times New Roman"/>
          <w:sz w:val="24"/>
          <w:szCs w:val="24"/>
        </w:rPr>
        <w:t>80 хил.лв.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>2.5.2 Разходи за ремонт на покрива на машинна зала. Състоянието на покрива на сградата на машинна зала е в лошо, през последната година се наблюдава увеличаване на течовете на дъждовна вода в производствените помещения, което е риск от настъпване на авария. Предвидените разходи за ремонт на покрива са 20 хил. лв.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Pr="0035566A" w:rsidRDefault="000423F1" w:rsidP="000423F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6A">
        <w:rPr>
          <w:rFonts w:ascii="Times New Roman" w:hAnsi="Times New Roman" w:cs="Times New Roman"/>
          <w:b/>
          <w:sz w:val="24"/>
          <w:szCs w:val="24"/>
        </w:rPr>
        <w:t>РАЗХОДИ ОТНЕСЕНИ  КЪМ ПРЕНОСА НА ТОПЛИННА ЕНЕРГИЯ</w:t>
      </w: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Pr="0035566A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566A">
        <w:rPr>
          <w:rFonts w:ascii="Times New Roman" w:hAnsi="Times New Roman" w:cs="Times New Roman"/>
          <w:sz w:val="24"/>
          <w:szCs w:val="24"/>
        </w:rPr>
        <w:t>Разходите отнесени, към преноса на топлинна енергия са свързани с извършване на рехабилитация и ремонти на значително амортизирани части от трасето на топлопреносната мрежа. Голяма част от топлопреносната мрежа е сериозно амортизирана, което налага извършването на ремонти на много места по мрежата, в това число и осъществяване на цялостни рехабилитации на участъци.</w:t>
      </w:r>
    </w:p>
    <w:p w:rsidR="000423F1" w:rsidRPr="00DD307B" w:rsidRDefault="000423F1" w:rsidP="0004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Съгласно ремонтната програма на дружеството се планира: подмяна на 6 броя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салникови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компенсатори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с нови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компенсатори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линзов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тип, подмяна на 6 броя спирателна/</w:t>
      </w:r>
      <w:proofErr w:type="spellStart"/>
      <w:r w:rsidRPr="0035566A">
        <w:rPr>
          <w:rFonts w:ascii="Times New Roman" w:hAnsi="Times New Roman" w:cs="Times New Roman"/>
          <w:sz w:val="24"/>
          <w:szCs w:val="24"/>
        </w:rPr>
        <w:t>секционираща</w:t>
      </w:r>
      <w:proofErr w:type="spellEnd"/>
      <w:r w:rsidRPr="0035566A">
        <w:rPr>
          <w:rFonts w:ascii="Times New Roman" w:hAnsi="Times New Roman" w:cs="Times New Roman"/>
          <w:sz w:val="24"/>
          <w:szCs w:val="24"/>
        </w:rPr>
        <w:t xml:space="preserve"> арматура, рехабилитация на участъци от топлопреносната мрежа и подмяна с нови топлопроводи с дължина 25 м. 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35566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5566A">
        <w:rPr>
          <w:rFonts w:ascii="Times New Roman" w:hAnsi="Times New Roman" w:cs="Times New Roman"/>
          <w:sz w:val="24"/>
          <w:szCs w:val="24"/>
        </w:rPr>
        <w:t xml:space="preserve"> трасе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Pr="0035566A">
        <w:rPr>
          <w:rFonts w:ascii="Times New Roman" w:hAnsi="Times New Roman" w:cs="Times New Roman"/>
          <w:sz w:val="24"/>
          <w:szCs w:val="24"/>
        </w:rPr>
        <w:t>Планираните разходи по тази точка са 80 хил. лв.</w:t>
      </w:r>
    </w:p>
    <w:p w:rsidR="0088057C" w:rsidRPr="0019661D" w:rsidRDefault="0088057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7073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прогнозирания ценови период от 01.07. 20</w:t>
      </w:r>
      <w:proofErr w:type="spellStart"/>
      <w:r w:rsidR="00BA5EF2">
        <w:rPr>
          <w:rFonts w:ascii="Times New Roman" w:hAnsi="Times New Roman" w:cs="Times New Roman"/>
          <w:sz w:val="24"/>
          <w:szCs w:val="24"/>
          <w:lang w:val="en-US"/>
        </w:rPr>
        <w:t>20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5B4EC0">
        <w:rPr>
          <w:rFonts w:ascii="Times New Roman" w:hAnsi="Times New Roman" w:cs="Times New Roman"/>
          <w:sz w:val="24"/>
          <w:szCs w:val="24"/>
        </w:rPr>
        <w:t>2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19661D">
        <w:rPr>
          <w:rFonts w:ascii="Times New Roman" w:hAnsi="Times New Roman" w:cs="Times New Roman"/>
          <w:sz w:val="24"/>
          <w:szCs w:val="24"/>
        </w:rPr>
        <w:t>г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. са </w:t>
      </w:r>
      <w:r w:rsidR="00CC42F4">
        <w:rPr>
          <w:rFonts w:ascii="Times New Roman" w:hAnsi="Times New Roman" w:cs="Times New Roman"/>
          <w:b/>
          <w:sz w:val="24"/>
          <w:szCs w:val="24"/>
        </w:rPr>
        <w:t>5</w:t>
      </w:r>
      <w:r w:rsidR="005B4EC0">
        <w:rPr>
          <w:rFonts w:ascii="Times New Roman" w:hAnsi="Times New Roman" w:cs="Times New Roman"/>
          <w:b/>
          <w:sz w:val="24"/>
          <w:szCs w:val="24"/>
        </w:rPr>
        <w:t>49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696C">
        <w:rPr>
          <w:rFonts w:ascii="Times New Roman" w:hAnsi="Times New Roman" w:cs="Times New Roman"/>
          <w:b/>
          <w:sz w:val="24"/>
          <w:szCs w:val="24"/>
        </w:rPr>
        <w:t>хил</w:t>
      </w:r>
      <w:proofErr w:type="spellEnd"/>
      <w:r w:rsidR="006917CD" w:rsidRP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96C">
        <w:rPr>
          <w:rFonts w:ascii="Times New Roman" w:hAnsi="Times New Roman" w:cs="Times New Roman"/>
          <w:b/>
          <w:sz w:val="24"/>
          <w:szCs w:val="24"/>
        </w:rPr>
        <w:t>.лв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FD19AA" w:rsidRPr="00210C02" w:rsidRDefault="00537073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C02">
        <w:rPr>
          <w:rFonts w:ascii="Times New Roman" w:hAnsi="Times New Roman" w:cs="Times New Roman"/>
          <w:b/>
          <w:sz w:val="24"/>
          <w:szCs w:val="24"/>
        </w:rPr>
        <w:t>Завишени са с</w:t>
      </w:r>
      <w:r w:rsidR="00CC42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5EF2">
        <w:rPr>
          <w:rFonts w:ascii="Times New Roman" w:hAnsi="Times New Roman" w:cs="Times New Roman"/>
          <w:b/>
          <w:sz w:val="24"/>
          <w:szCs w:val="24"/>
          <w:lang w:val="en-US"/>
        </w:rPr>
        <w:t>29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CB5082" w:rsidRPr="00210C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10C02">
        <w:rPr>
          <w:rFonts w:ascii="Times New Roman" w:hAnsi="Times New Roman" w:cs="Times New Roman"/>
          <w:b/>
          <w:sz w:val="24"/>
          <w:szCs w:val="24"/>
        </w:rPr>
        <w:t>лв</w:t>
      </w:r>
      <w:r w:rsidR="006917CD" w:rsidRPr="00210C02">
        <w:rPr>
          <w:rFonts w:ascii="Times New Roman" w:hAnsi="Times New Roman" w:cs="Times New Roman"/>
          <w:b/>
          <w:sz w:val="24"/>
          <w:szCs w:val="24"/>
        </w:rPr>
        <w:t>.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в сравнение с отчетените </w:t>
      </w:r>
      <w:r w:rsidR="00BA5EF2">
        <w:rPr>
          <w:rFonts w:ascii="Times New Roman" w:hAnsi="Times New Roman" w:cs="Times New Roman"/>
          <w:b/>
          <w:sz w:val="24"/>
          <w:szCs w:val="24"/>
          <w:lang w:val="en-US"/>
        </w:rPr>
        <w:t>520</w:t>
      </w:r>
      <w:r w:rsidR="007D4162">
        <w:rPr>
          <w:rFonts w:ascii="Times New Roman" w:hAnsi="Times New Roman" w:cs="Times New Roman"/>
          <w:b/>
          <w:sz w:val="24"/>
          <w:szCs w:val="24"/>
        </w:rPr>
        <w:t>х.лв.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BA5EF2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210C02">
        <w:rPr>
          <w:rFonts w:ascii="Times New Roman" w:hAnsi="Times New Roman" w:cs="Times New Roman"/>
          <w:b/>
          <w:sz w:val="24"/>
          <w:szCs w:val="24"/>
        </w:rPr>
        <w:t>г.</w:t>
      </w:r>
    </w:p>
    <w:p w:rsidR="00C17774" w:rsidRPr="00BA5EF2" w:rsidRDefault="00447FA2" w:rsidP="00C17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 xml:space="preserve">   *увеличение на РЗ на работещите  в</w:t>
      </w:r>
      <w:r w:rsidR="00100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0D5F">
        <w:rPr>
          <w:rFonts w:ascii="Times New Roman" w:hAnsi="Times New Roman" w:cs="Times New Roman"/>
          <w:sz w:val="24"/>
          <w:szCs w:val="24"/>
          <w:lang w:val="en-US"/>
        </w:rPr>
        <w:t>дружествот</w:t>
      </w:r>
      <w:proofErr w:type="spellEnd"/>
      <w:r w:rsidR="00100D5F">
        <w:rPr>
          <w:rFonts w:ascii="Times New Roman" w:hAnsi="Times New Roman" w:cs="Times New Roman"/>
          <w:sz w:val="24"/>
          <w:szCs w:val="24"/>
        </w:rPr>
        <w:t>о</w:t>
      </w:r>
      <w:r w:rsidR="00C17774">
        <w:rPr>
          <w:rFonts w:ascii="Times New Roman" w:hAnsi="Times New Roman" w:cs="Times New Roman"/>
          <w:sz w:val="24"/>
          <w:szCs w:val="24"/>
        </w:rPr>
        <w:t xml:space="preserve"> е </w:t>
      </w:r>
      <w:r w:rsidR="00100D5F">
        <w:rPr>
          <w:rFonts w:ascii="Times New Roman" w:hAnsi="Times New Roman" w:cs="Times New Roman"/>
          <w:sz w:val="24"/>
          <w:szCs w:val="24"/>
        </w:rPr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 xml:space="preserve">базирано на увеличението на МРЗ с </w:t>
      </w:r>
      <w:r w:rsidR="00AC3A19">
        <w:rPr>
          <w:rFonts w:ascii="Times New Roman" w:hAnsi="Times New Roman" w:cs="Times New Roman"/>
          <w:sz w:val="24"/>
          <w:szCs w:val="24"/>
        </w:rPr>
        <w:t>9,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4020D">
        <w:rPr>
          <w:rFonts w:ascii="Times New Roman" w:hAnsi="Times New Roman" w:cs="Times New Roman"/>
          <w:sz w:val="24"/>
          <w:szCs w:val="24"/>
        </w:rPr>
        <w:t>%</w:t>
      </w:r>
      <w:r w:rsidR="00100D5F">
        <w:rPr>
          <w:rFonts w:ascii="Times New Roman" w:hAnsi="Times New Roman" w:cs="Times New Roman"/>
          <w:sz w:val="24"/>
          <w:szCs w:val="24"/>
        </w:rPr>
        <w:t xml:space="preserve">    и данните за средната месечна заплата на наетите лица по трудови правоотношения</w:t>
      </w:r>
      <w:r w:rsidR="0030246A">
        <w:rPr>
          <w:rFonts w:ascii="Times New Roman" w:hAnsi="Times New Roman" w:cs="Times New Roman"/>
          <w:sz w:val="24"/>
          <w:szCs w:val="24"/>
        </w:rPr>
        <w:t xml:space="preserve"> за 201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30246A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100D5F">
        <w:rPr>
          <w:rFonts w:ascii="Times New Roman" w:hAnsi="Times New Roman" w:cs="Times New Roman"/>
          <w:sz w:val="24"/>
          <w:szCs w:val="24"/>
        </w:rPr>
        <w:t xml:space="preserve"> в отрасъла по данни на НСИ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7774" w:rsidRPr="003F4AC9" w:rsidRDefault="00C17774" w:rsidP="00C17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F4AC9">
        <w:rPr>
          <w:rFonts w:ascii="Times New Roman" w:hAnsi="Times New Roman" w:cs="Times New Roman"/>
          <w:i/>
          <w:sz w:val="24"/>
          <w:szCs w:val="24"/>
        </w:rPr>
        <w:t>С</w:t>
      </w:r>
      <w:r w:rsidR="00BA5EF2">
        <w:rPr>
          <w:rFonts w:ascii="Times New Roman" w:hAnsi="Times New Roman" w:cs="Times New Roman"/>
          <w:i/>
          <w:sz w:val="24"/>
          <w:szCs w:val="24"/>
        </w:rPr>
        <w:t>реднос</w:t>
      </w:r>
      <w:r w:rsidRPr="003F4AC9">
        <w:rPr>
          <w:rFonts w:ascii="Times New Roman" w:hAnsi="Times New Roman" w:cs="Times New Roman"/>
          <w:i/>
          <w:sz w:val="24"/>
          <w:szCs w:val="24"/>
        </w:rPr>
        <w:t>писъчния</w:t>
      </w:r>
      <w:proofErr w:type="spellEnd"/>
      <w:r w:rsidRPr="003F4AC9">
        <w:rPr>
          <w:rFonts w:ascii="Times New Roman" w:hAnsi="Times New Roman" w:cs="Times New Roman"/>
          <w:i/>
          <w:sz w:val="24"/>
          <w:szCs w:val="24"/>
        </w:rPr>
        <w:t xml:space="preserve">  брой на персонала към 31.12.201</w:t>
      </w:r>
      <w:r w:rsidR="00BA5EF2">
        <w:rPr>
          <w:rFonts w:ascii="Times New Roman" w:hAnsi="Times New Roman" w:cs="Times New Roman"/>
          <w:i/>
          <w:sz w:val="24"/>
          <w:szCs w:val="24"/>
        </w:rPr>
        <w:t>9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г. е </w:t>
      </w:r>
      <w:r w:rsidR="00BA5EF2">
        <w:rPr>
          <w:rFonts w:ascii="Times New Roman" w:hAnsi="Times New Roman" w:cs="Times New Roman"/>
          <w:i/>
          <w:sz w:val="24"/>
          <w:szCs w:val="24"/>
        </w:rPr>
        <w:t>38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AC9">
        <w:rPr>
          <w:rFonts w:ascii="Times New Roman" w:hAnsi="Times New Roman" w:cs="Times New Roman"/>
          <w:i/>
          <w:sz w:val="24"/>
          <w:szCs w:val="24"/>
        </w:rPr>
        <w:t>работници</w:t>
      </w:r>
      <w:r w:rsidR="00BA5E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AC9">
        <w:rPr>
          <w:rFonts w:ascii="Times New Roman" w:hAnsi="Times New Roman" w:cs="Times New Roman"/>
          <w:i/>
          <w:sz w:val="24"/>
          <w:szCs w:val="24"/>
        </w:rPr>
        <w:t>и</w:t>
      </w:r>
      <w:r w:rsidR="00BA5E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AC9">
        <w:rPr>
          <w:rFonts w:ascii="Times New Roman" w:hAnsi="Times New Roman" w:cs="Times New Roman"/>
          <w:i/>
          <w:sz w:val="24"/>
          <w:szCs w:val="24"/>
        </w:rPr>
        <w:t>служители</w:t>
      </w:r>
      <w:r w:rsidR="0071320C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71320C">
        <w:rPr>
          <w:rFonts w:ascii="Times New Roman" w:hAnsi="Times New Roman" w:cs="Times New Roman"/>
          <w:i/>
          <w:sz w:val="24"/>
          <w:szCs w:val="24"/>
        </w:rPr>
        <w:t>изп</w:t>
      </w:r>
      <w:proofErr w:type="spellEnd"/>
      <w:r w:rsidR="0071320C">
        <w:rPr>
          <w:rFonts w:ascii="Times New Roman" w:hAnsi="Times New Roman" w:cs="Times New Roman"/>
          <w:i/>
          <w:sz w:val="24"/>
          <w:szCs w:val="24"/>
        </w:rPr>
        <w:t>.директор.</w:t>
      </w:r>
    </w:p>
    <w:p w:rsidR="003A51FB" w:rsidRPr="003A51FB" w:rsidRDefault="003A51FB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Дружеството изпитва затруднение в набирането на персонал, поради което с повишаване на възнагражденията се цели  приближаване  до възнаграждения в сектор </w:t>
      </w:r>
      <w:r w:rsidRPr="003A51FB">
        <w:rPr>
          <w:rFonts w:ascii="Tahoma" w:eastAsia="Times New Roman" w:hAnsi="Tahoma" w:cs="Tahoma"/>
          <w:b/>
          <w:sz w:val="20"/>
          <w:szCs w:val="20"/>
          <w:lang w:eastAsia="bg-BG"/>
        </w:rPr>
        <w:t>Производство и разпределение на електрическа и топлинна енергия и на газообразни горива</w:t>
      </w:r>
      <w:r w:rsidRPr="00E4020D">
        <w:rPr>
          <w:rFonts w:ascii="Tahoma" w:eastAsia="Times New Roman" w:hAnsi="Tahoma" w:cs="Tahoma"/>
          <w:sz w:val="20"/>
          <w:szCs w:val="20"/>
          <w:lang w:eastAsia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324F2D" w:rsidRPr="001F49F8" w:rsidRDefault="00E13519" w:rsidP="00E13519">
      <w:pPr>
        <w:spacing w:before="300" w:after="360" w:line="240" w:lineRule="auto"/>
        <w:jc w:val="both"/>
        <w:textAlignment w:val="center"/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</w:pPr>
      <w:r w:rsidRPr="00E4020D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>СРЕДНА МЕСЕЧНА ЗАПЛАТА НА НАЕТИТЕ ЛИЦА ПО ТРУДОВО И СЛУЖЕБНО ПРАВООТНОШЕНИЕ ПРЕЗ 201</w:t>
      </w:r>
      <w:r w:rsidR="00BA5EF2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>9</w:t>
      </w:r>
      <w:r w:rsidRPr="00E4020D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 xml:space="preserve"> ГОДИН</w:t>
      </w:r>
      <w:r w:rsidR="001F49F8"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  <w:t>a</w:t>
      </w:r>
    </w:p>
    <w:p w:rsidR="001F49F8" w:rsidRDefault="00E13519" w:rsidP="00E13519">
      <w:pPr>
        <w:spacing w:after="0"/>
        <w:jc w:val="both"/>
        <w:rPr>
          <w:rFonts w:ascii="Tahoma" w:eastAsia="Times New Roman" w:hAnsi="Tahoma" w:cs="Tahoma"/>
          <w:sz w:val="17"/>
          <w:szCs w:val="17"/>
          <w:lang w:val="en-US" w:eastAsia="bg-BG"/>
        </w:rPr>
      </w:pPr>
      <w:r>
        <w:rPr>
          <w:rFonts w:ascii="Tahoma" w:eastAsia="Times New Roman" w:hAnsi="Tahoma" w:cs="Tahoma"/>
          <w:sz w:val="17"/>
          <w:szCs w:val="17"/>
          <w:lang w:eastAsia="bg-BG"/>
        </w:rPr>
        <w:t xml:space="preserve">                                                                                                                                                         </w:t>
      </w:r>
    </w:p>
    <w:p w:rsidR="001F49F8" w:rsidRDefault="001F49F8" w:rsidP="00E13519">
      <w:pPr>
        <w:spacing w:after="0"/>
        <w:jc w:val="both"/>
        <w:rPr>
          <w:rFonts w:ascii="Tahoma" w:eastAsia="Times New Roman" w:hAnsi="Tahoma" w:cs="Tahoma"/>
          <w:sz w:val="17"/>
          <w:szCs w:val="17"/>
          <w:lang w:val="en-US" w:eastAsia="bg-BG"/>
        </w:rPr>
      </w:pPr>
    </w:p>
    <w:p w:rsidR="00E13519" w:rsidRDefault="001F49F8" w:rsidP="00E135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17"/>
          <w:szCs w:val="17"/>
          <w:lang w:val="en-US" w:eastAsia="bg-BG"/>
        </w:rPr>
        <w:t xml:space="preserve">                              </w:t>
      </w:r>
      <w:r w:rsidR="00E13519">
        <w:rPr>
          <w:rFonts w:ascii="Tahoma" w:eastAsia="Times New Roman" w:hAnsi="Tahoma" w:cs="Tahoma"/>
          <w:sz w:val="17"/>
          <w:szCs w:val="17"/>
          <w:lang w:eastAsia="bg-BG"/>
        </w:rPr>
        <w:t xml:space="preserve">    </w:t>
      </w:r>
      <w:r w:rsidR="00E13519" w:rsidRPr="00E4020D">
        <w:rPr>
          <w:rFonts w:ascii="Tahoma" w:eastAsia="Times New Roman" w:hAnsi="Tahoma" w:cs="Tahoma"/>
          <w:sz w:val="17"/>
          <w:szCs w:val="17"/>
          <w:lang w:eastAsia="bg-BG"/>
        </w:rPr>
        <w:t xml:space="preserve">(левове)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/>
      </w:tblPr>
      <w:tblGrid>
        <w:gridCol w:w="2201"/>
        <w:gridCol w:w="672"/>
        <w:gridCol w:w="672"/>
        <w:gridCol w:w="727"/>
        <w:gridCol w:w="728"/>
        <w:gridCol w:w="728"/>
        <w:gridCol w:w="728"/>
        <w:gridCol w:w="728"/>
        <w:gridCol w:w="728"/>
        <w:gridCol w:w="728"/>
        <w:gridCol w:w="728"/>
        <w:gridCol w:w="728"/>
        <w:gridCol w:w="600"/>
      </w:tblGrid>
      <w:tr w:rsidR="008B0F2F" w:rsidRPr="00E4020D" w:rsidTr="00C17774">
        <w:trPr>
          <w:trHeight w:hRule="exact" w:val="1497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17774" w:rsidRPr="00E4020D" w:rsidRDefault="00C17774" w:rsidP="00E13519">
            <w:pPr>
              <w:spacing w:before="300" w:after="36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Месец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II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XI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XII</w:t>
            </w:r>
          </w:p>
        </w:tc>
      </w:tr>
      <w:tr w:rsidR="008B0F2F" w:rsidRPr="00E4020D" w:rsidTr="00C17774">
        <w:trPr>
          <w:trHeight w:hRule="exact" w:val="1497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BA3CE3" w:rsidP="00715FFA">
            <w:pPr>
              <w:spacing w:before="300" w:after="36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1702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BA3CE3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1670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BA3CE3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1488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BA3CE3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1652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BA3CE3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1934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BA3CE3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1771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8B0F2F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1679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8B0F2F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1661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8B0F2F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1782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8B0F2F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1736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8B0F2F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1982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8B0F2F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2235</w:t>
            </w:r>
          </w:p>
        </w:tc>
      </w:tr>
    </w:tbl>
    <w:p w:rsidR="00447FA2" w:rsidRDefault="00E4020D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1320C" w:rsidRDefault="0071320C" w:rsidP="007E51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*Увеличение на разходите за Работна заплата със </w:t>
      </w:r>
      <w:r w:rsidR="008B0F2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х.лв. поради предстоящо пенсиониране през новия ценови период на </w:t>
      </w:r>
      <w:r w:rsidR="008B0F2F">
        <w:rPr>
          <w:rFonts w:ascii="Times New Roman" w:hAnsi="Times New Roman" w:cs="Times New Roman"/>
          <w:b/>
          <w:sz w:val="24"/>
          <w:szCs w:val="24"/>
        </w:rPr>
        <w:t>един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работник – обезщетение по чл.222, ал.3 от КТ </w:t>
      </w:r>
    </w:p>
    <w:p w:rsidR="0071320C" w:rsidRDefault="0071320C" w:rsidP="007E51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20D" w:rsidRPr="00E13519" w:rsidRDefault="00E4020D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РАЗХОДИ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ЗДРАВНИ ОСИГУРОВКИ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 РАЗХОДИ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</w:t>
      </w:r>
      <w:r w:rsidR="008B0F2F">
        <w:rPr>
          <w:rFonts w:ascii="Times New Roman" w:hAnsi="Times New Roman" w:cs="Times New Roman"/>
          <w:sz w:val="24"/>
          <w:szCs w:val="24"/>
        </w:rPr>
        <w:t>20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8B0F2F">
        <w:rPr>
          <w:rFonts w:ascii="Times New Roman" w:hAnsi="Times New Roman" w:cs="Times New Roman"/>
          <w:sz w:val="24"/>
          <w:szCs w:val="24"/>
        </w:rPr>
        <w:t>1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Социални разходи </w:t>
      </w:r>
      <w:r w:rsidR="000C1B7B">
        <w:rPr>
          <w:rFonts w:ascii="Times New Roman" w:hAnsi="Times New Roman" w:cs="Times New Roman"/>
          <w:sz w:val="24"/>
          <w:szCs w:val="24"/>
        </w:rPr>
        <w:t xml:space="preserve">не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0C1B7B">
        <w:rPr>
          <w:rFonts w:ascii="Times New Roman" w:hAnsi="Times New Roman" w:cs="Times New Roman"/>
          <w:sz w:val="24"/>
          <w:szCs w:val="24"/>
        </w:rPr>
        <w:t>прогнозирани.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B7B" w:rsidRPr="0019661D" w:rsidRDefault="000C1B7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 ценовия период от  01.07. 20</w:t>
      </w:r>
      <w:r w:rsidR="008B0F2F">
        <w:rPr>
          <w:rFonts w:ascii="Times New Roman" w:hAnsi="Times New Roman" w:cs="Times New Roman"/>
          <w:sz w:val="24"/>
          <w:szCs w:val="24"/>
        </w:rPr>
        <w:t>20</w:t>
      </w:r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8B0F2F">
        <w:rPr>
          <w:rFonts w:ascii="Times New Roman" w:hAnsi="Times New Roman" w:cs="Times New Roman"/>
          <w:sz w:val="24"/>
          <w:szCs w:val="24"/>
        </w:rPr>
        <w:t>1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 xml:space="preserve">са </w:t>
      </w:r>
      <w:r w:rsidR="008B0F2F">
        <w:rPr>
          <w:rFonts w:ascii="Times New Roman" w:hAnsi="Times New Roman" w:cs="Times New Roman"/>
          <w:sz w:val="24"/>
          <w:szCs w:val="24"/>
        </w:rPr>
        <w:t>7</w:t>
      </w:r>
      <w:r w:rsidR="00AC371A">
        <w:rPr>
          <w:rFonts w:ascii="Times New Roman" w:hAnsi="Times New Roman" w:cs="Times New Roman"/>
          <w:sz w:val="24"/>
          <w:szCs w:val="24"/>
        </w:rPr>
        <w:t>41</w:t>
      </w:r>
      <w:r w:rsidR="00C47237" w:rsidRPr="007921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47237" w:rsidRPr="005740FF">
        <w:rPr>
          <w:rFonts w:ascii="Times New Roman" w:hAnsi="Times New Roman" w:cs="Times New Roman"/>
          <w:sz w:val="24"/>
          <w:szCs w:val="24"/>
        </w:rPr>
        <w:t xml:space="preserve">х.лв. </w:t>
      </w:r>
    </w:p>
    <w:p w:rsidR="00A021AA" w:rsidRPr="005740FF" w:rsidRDefault="00A021A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94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73B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0C1B7B">
        <w:rPr>
          <w:rFonts w:ascii="Times New Roman" w:hAnsi="Times New Roman" w:cs="Times New Roman"/>
          <w:b/>
          <w:sz w:val="24"/>
          <w:szCs w:val="24"/>
        </w:rPr>
        <w:t>9</w:t>
      </w:r>
      <w:r w:rsidR="00AF278D">
        <w:rPr>
          <w:rFonts w:ascii="Times New Roman" w:hAnsi="Times New Roman" w:cs="Times New Roman"/>
          <w:b/>
          <w:sz w:val="24"/>
          <w:szCs w:val="24"/>
        </w:rPr>
        <w:t>х.</w:t>
      </w:r>
      <w:r w:rsidR="00757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75794D">
        <w:rPr>
          <w:rFonts w:ascii="Times New Roman" w:hAnsi="Times New Roman" w:cs="Times New Roman"/>
          <w:sz w:val="24"/>
          <w:szCs w:val="24"/>
        </w:rPr>
        <w:t>5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х.</w:t>
      </w:r>
      <w:r w:rsidR="0075794D">
        <w:rPr>
          <w:rFonts w:ascii="Times New Roman" w:hAnsi="Times New Roman" w:cs="Times New Roman"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>лв</w:t>
      </w:r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201</w:t>
      </w:r>
      <w:r w:rsidR="008B0F2F">
        <w:rPr>
          <w:rFonts w:ascii="Times New Roman" w:hAnsi="Times New Roman" w:cs="Times New Roman"/>
          <w:sz w:val="24"/>
          <w:szCs w:val="24"/>
        </w:rPr>
        <w:t>9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 п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оради използване на вътрешен транспорт за зареждане на Котел ПТ 10 с дървесен </w:t>
      </w:r>
      <w:proofErr w:type="spellStart"/>
      <w:r w:rsidR="00F25AC0" w:rsidRPr="0019661D">
        <w:rPr>
          <w:rFonts w:ascii="Times New Roman" w:hAnsi="Times New Roman" w:cs="Times New Roman"/>
          <w:sz w:val="24"/>
          <w:szCs w:val="24"/>
        </w:rPr>
        <w:t>чипс</w:t>
      </w:r>
      <w:proofErr w:type="spellEnd"/>
      <w:r w:rsidR="000C1B7B">
        <w:rPr>
          <w:rFonts w:ascii="Times New Roman" w:hAnsi="Times New Roman" w:cs="Times New Roman"/>
          <w:sz w:val="24"/>
          <w:szCs w:val="24"/>
        </w:rPr>
        <w:t xml:space="preserve"> и по-големият разход за горива на автомобилите, обслужващи отдел Пренос на ТЕ- причината са </w:t>
      </w:r>
      <w:r w:rsidR="00C77202">
        <w:rPr>
          <w:rFonts w:ascii="Times New Roman" w:hAnsi="Times New Roman" w:cs="Times New Roman"/>
          <w:sz w:val="24"/>
          <w:szCs w:val="24"/>
        </w:rPr>
        <w:t>честите</w:t>
      </w:r>
      <w:r w:rsidR="000C1B7B">
        <w:rPr>
          <w:rFonts w:ascii="Times New Roman" w:hAnsi="Times New Roman" w:cs="Times New Roman"/>
          <w:sz w:val="24"/>
          <w:szCs w:val="24"/>
        </w:rPr>
        <w:t xml:space="preserve"> аварии на топлопреносната мрежа. </w:t>
      </w:r>
    </w:p>
    <w:p w:rsidR="00C31746" w:rsidRDefault="00C3174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75794D">
        <w:rPr>
          <w:rFonts w:ascii="Times New Roman" w:hAnsi="Times New Roman" w:cs="Times New Roman"/>
          <w:b/>
          <w:sz w:val="24"/>
          <w:szCs w:val="24"/>
        </w:rPr>
        <w:t>3</w:t>
      </w:r>
      <w:r w:rsidR="00C77202">
        <w:rPr>
          <w:rFonts w:ascii="Times New Roman" w:hAnsi="Times New Roman" w:cs="Times New Roman"/>
          <w:b/>
          <w:sz w:val="24"/>
          <w:szCs w:val="24"/>
        </w:rPr>
        <w:t>5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1745E4" w:rsidRPr="0019661D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 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– масло за </w:t>
      </w:r>
      <w:proofErr w:type="spellStart"/>
      <w:r w:rsidR="009D562D">
        <w:rPr>
          <w:rFonts w:ascii="Times New Roman" w:hAnsi="Times New Roman" w:cs="Times New Roman"/>
          <w:sz w:val="24"/>
          <w:szCs w:val="24"/>
        </w:rPr>
        <w:t>когенератора</w:t>
      </w:r>
      <w:proofErr w:type="spellEnd"/>
      <w:r w:rsidR="009D562D">
        <w:rPr>
          <w:rFonts w:ascii="Times New Roman" w:hAnsi="Times New Roman" w:cs="Times New Roman"/>
          <w:sz w:val="24"/>
          <w:szCs w:val="24"/>
        </w:rPr>
        <w:t>, свещи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8B0F2F">
        <w:rPr>
          <w:rFonts w:ascii="Times New Roman" w:hAnsi="Times New Roman" w:cs="Times New Roman"/>
          <w:sz w:val="24"/>
          <w:szCs w:val="24"/>
        </w:rPr>
        <w:t>Завишението е</w:t>
      </w:r>
      <w:r w:rsidR="00C77202">
        <w:rPr>
          <w:rFonts w:ascii="Times New Roman" w:hAnsi="Times New Roman" w:cs="Times New Roman"/>
          <w:sz w:val="24"/>
          <w:szCs w:val="24"/>
        </w:rPr>
        <w:t xml:space="preserve"> в производството </w:t>
      </w:r>
      <w:r w:rsidR="00A112F8">
        <w:rPr>
          <w:rFonts w:ascii="Times New Roman" w:hAnsi="Times New Roman" w:cs="Times New Roman"/>
          <w:sz w:val="24"/>
          <w:szCs w:val="24"/>
        </w:rPr>
        <w:t xml:space="preserve"> в сравнение с отчетените за 201</w:t>
      </w:r>
      <w:r w:rsidR="00CC7650">
        <w:rPr>
          <w:rFonts w:ascii="Times New Roman" w:hAnsi="Times New Roman" w:cs="Times New Roman"/>
          <w:sz w:val="24"/>
          <w:szCs w:val="24"/>
        </w:rPr>
        <w:t>9</w:t>
      </w:r>
      <w:r w:rsidR="00A112F8">
        <w:rPr>
          <w:rFonts w:ascii="Times New Roman" w:hAnsi="Times New Roman" w:cs="Times New Roman"/>
          <w:sz w:val="24"/>
          <w:szCs w:val="24"/>
        </w:rPr>
        <w:t>г.</w:t>
      </w:r>
      <w:r w:rsidR="0075794D"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C77202">
        <w:rPr>
          <w:rFonts w:ascii="Times New Roman" w:hAnsi="Times New Roman" w:cs="Times New Roman"/>
          <w:sz w:val="24"/>
          <w:szCs w:val="24"/>
        </w:rPr>
        <w:t>честите аварии на Котел ПТ 10 и нуждата от текущ ремонт</w:t>
      </w:r>
      <w:r w:rsidR="0075794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77202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rFonts w:ascii="Times New Roman" w:hAnsi="Times New Roman" w:cs="Times New Roman"/>
          <w:sz w:val="24"/>
          <w:szCs w:val="24"/>
        </w:rPr>
        <w:lastRenderedPageBreak/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 непрекъснатите аварии по мрежата, която вече е много остаряла и се нуждае от основен ремонт.</w:t>
      </w:r>
      <w:r w:rsidR="00C77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C32" w:rsidRDefault="00D42C3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E0A" w:rsidRPr="00BA4F8F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C77202">
        <w:rPr>
          <w:rFonts w:ascii="Times New Roman" w:hAnsi="Times New Roman" w:cs="Times New Roman"/>
          <w:b/>
          <w:sz w:val="24"/>
          <w:szCs w:val="24"/>
        </w:rPr>
        <w:t>42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75794D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Отчетените разходи за въоръжена и противопожарна охрана са </w:t>
      </w:r>
      <w:r w:rsidR="00C77202">
        <w:rPr>
          <w:rFonts w:ascii="Times New Roman" w:hAnsi="Times New Roman" w:cs="Times New Roman"/>
          <w:sz w:val="24"/>
          <w:szCs w:val="24"/>
        </w:rPr>
        <w:t>увеличени в сравнение с 201</w:t>
      </w:r>
      <w:r w:rsidR="00CC7650">
        <w:rPr>
          <w:rFonts w:ascii="Times New Roman" w:hAnsi="Times New Roman" w:cs="Times New Roman"/>
          <w:sz w:val="24"/>
          <w:szCs w:val="24"/>
        </w:rPr>
        <w:t>9</w:t>
      </w:r>
      <w:r w:rsidR="00C7720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CC7650">
        <w:rPr>
          <w:rFonts w:ascii="Times New Roman" w:hAnsi="Times New Roman" w:cs="Times New Roman"/>
          <w:sz w:val="24"/>
          <w:szCs w:val="24"/>
        </w:rPr>
        <w:t>промени в договора за денонощна физическа охрана, във връзка с новия размер на МРЗ за страната.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202" w:rsidRPr="0019661D" w:rsidRDefault="00C7720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.4. Разходи за наем включват:</w:t>
      </w: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1.Наем на „Газов генераторен комплект №7 – 5027/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когенератор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/ съгласно Договор за наем с „Топлофикация Бургас“ ЕАД </w:t>
      </w:r>
      <w:r w:rsidR="00EB2FA5">
        <w:rPr>
          <w:rFonts w:ascii="Times New Roman" w:hAnsi="Times New Roman" w:cs="Times New Roman"/>
          <w:sz w:val="24"/>
          <w:szCs w:val="24"/>
        </w:rPr>
        <w:t>.</w:t>
      </w:r>
    </w:p>
    <w:p w:rsidR="00832C99" w:rsidRPr="0019661D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AD2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 на  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Телехендер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 от 01.02.2010</w:t>
      </w:r>
      <w:r w:rsidR="00844120" w:rsidRPr="0019661D">
        <w:rPr>
          <w:rFonts w:ascii="Times New Roman" w:hAnsi="Times New Roman" w:cs="Times New Roman"/>
          <w:sz w:val="24"/>
          <w:szCs w:val="24"/>
        </w:rPr>
        <w:t>г. с „МИНА Станянци“ АД гр.София.</w:t>
      </w:r>
      <w:r w:rsidR="003B5581">
        <w:rPr>
          <w:rFonts w:ascii="Times New Roman" w:hAnsi="Times New Roman" w:cs="Times New Roman"/>
          <w:sz w:val="24"/>
          <w:szCs w:val="24"/>
        </w:rPr>
        <w:t xml:space="preserve"> </w:t>
      </w:r>
      <w:r w:rsidR="00844120" w:rsidRPr="0019661D">
        <w:rPr>
          <w:rFonts w:ascii="Times New Roman" w:hAnsi="Times New Roman" w:cs="Times New Roman"/>
          <w:sz w:val="24"/>
          <w:szCs w:val="24"/>
        </w:rPr>
        <w:t xml:space="preserve">Използва се да зарежда </w:t>
      </w:r>
      <w:proofErr w:type="spellStart"/>
      <w:r w:rsidR="00844120" w:rsidRPr="0019661D">
        <w:rPr>
          <w:rFonts w:ascii="Times New Roman" w:hAnsi="Times New Roman" w:cs="Times New Roman"/>
          <w:sz w:val="24"/>
          <w:szCs w:val="24"/>
        </w:rPr>
        <w:t>биогориво</w:t>
      </w:r>
      <w:proofErr w:type="spellEnd"/>
      <w:r w:rsidR="00844120" w:rsidRPr="0019661D">
        <w:rPr>
          <w:rFonts w:ascii="Times New Roman" w:hAnsi="Times New Roman" w:cs="Times New Roman"/>
          <w:sz w:val="24"/>
          <w:szCs w:val="24"/>
        </w:rPr>
        <w:t xml:space="preserve"> в </w:t>
      </w:r>
      <w:r w:rsidR="00D42C32">
        <w:rPr>
          <w:rFonts w:ascii="Times New Roman" w:hAnsi="Times New Roman" w:cs="Times New Roman"/>
          <w:sz w:val="24"/>
          <w:szCs w:val="24"/>
        </w:rPr>
        <w:t>Котел ПТ 10</w:t>
      </w:r>
      <w:r w:rsidR="00844120" w:rsidRPr="0019661D">
        <w:rPr>
          <w:rFonts w:ascii="Times New Roman" w:hAnsi="Times New Roman" w:cs="Times New Roman"/>
          <w:sz w:val="24"/>
          <w:szCs w:val="24"/>
        </w:rPr>
        <w:t xml:space="preserve"> и като вътрешнозаводски транспорт</w:t>
      </w:r>
      <w:r w:rsidR="00912110">
        <w:rPr>
          <w:rFonts w:ascii="Times New Roman" w:hAnsi="Times New Roman" w:cs="Times New Roman"/>
          <w:sz w:val="24"/>
          <w:szCs w:val="24"/>
        </w:rPr>
        <w:t>.</w:t>
      </w:r>
    </w:p>
    <w:p w:rsidR="00912110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Default="009A2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3B5581"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AE681B">
        <w:rPr>
          <w:rFonts w:ascii="Times New Roman" w:hAnsi="Times New Roman" w:cs="Times New Roman"/>
          <w:b/>
          <w:sz w:val="24"/>
          <w:szCs w:val="24"/>
        </w:rPr>
        <w:t xml:space="preserve"> Безплатна храна съгласно нормативен акт – Безплатна хра</w:t>
      </w:r>
      <w:r w:rsidR="00737950">
        <w:rPr>
          <w:rFonts w:ascii="Times New Roman" w:hAnsi="Times New Roman" w:cs="Times New Roman"/>
          <w:b/>
          <w:sz w:val="24"/>
          <w:szCs w:val="24"/>
        </w:rPr>
        <w:t>на за работниците по Наредба 11.</w:t>
      </w:r>
    </w:p>
    <w:p w:rsidR="00AE681B" w:rsidRPr="00AE681B" w:rsidRDefault="00AE681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 xml:space="preserve">.Разходи за екология </w:t>
      </w:r>
      <w:r w:rsidR="00EF2F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C7650">
        <w:rPr>
          <w:rFonts w:ascii="Times New Roman" w:hAnsi="Times New Roman" w:cs="Times New Roman"/>
          <w:b/>
          <w:sz w:val="24"/>
          <w:szCs w:val="24"/>
        </w:rPr>
        <w:t>20 х.</w:t>
      </w:r>
      <w:proofErr w:type="spellStart"/>
      <w:r w:rsidR="00CC7650">
        <w:rPr>
          <w:rFonts w:ascii="Times New Roman" w:hAnsi="Times New Roman" w:cs="Times New Roman"/>
          <w:b/>
          <w:sz w:val="24"/>
          <w:szCs w:val="24"/>
        </w:rPr>
        <w:t>лв</w:t>
      </w:r>
      <w:proofErr w:type="spellEnd"/>
      <w:r w:rsidR="00CC76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включват</w:t>
      </w:r>
      <w:r w:rsidR="00EF2F00">
        <w:rPr>
          <w:rFonts w:ascii="Times New Roman" w:hAnsi="Times New Roman" w:cs="Times New Roman"/>
          <w:b/>
          <w:sz w:val="24"/>
          <w:szCs w:val="24"/>
        </w:rPr>
        <w:t>:</w:t>
      </w:r>
    </w:p>
    <w:p w:rsidR="00C77202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</w:t>
      </w:r>
      <w:bookmarkStart w:id="0" w:name="_GoBack"/>
      <w:bookmarkEnd w:id="0"/>
      <w:r w:rsidR="00C77202">
        <w:rPr>
          <w:rFonts w:ascii="Times New Roman" w:hAnsi="Times New Roman" w:cs="Times New Roman"/>
          <w:sz w:val="24"/>
          <w:szCs w:val="24"/>
        </w:rPr>
        <w:t>и т</w:t>
      </w:r>
      <w:r w:rsidRPr="0019661D">
        <w:rPr>
          <w:rFonts w:ascii="Times New Roman" w:hAnsi="Times New Roman" w:cs="Times New Roman"/>
          <w:sz w:val="24"/>
          <w:szCs w:val="24"/>
        </w:rPr>
        <w:t xml:space="preserve">акса </w:t>
      </w:r>
      <w:r w:rsidR="00C77202">
        <w:rPr>
          <w:rFonts w:ascii="Times New Roman" w:hAnsi="Times New Roman" w:cs="Times New Roman"/>
          <w:sz w:val="24"/>
          <w:szCs w:val="24"/>
        </w:rPr>
        <w:t>з</w:t>
      </w:r>
      <w:r w:rsidRPr="0019661D">
        <w:rPr>
          <w:rFonts w:ascii="Times New Roman" w:hAnsi="Times New Roman" w:cs="Times New Roman"/>
          <w:sz w:val="24"/>
          <w:szCs w:val="24"/>
        </w:rPr>
        <w:t>а депониране на отпадъци</w:t>
      </w:r>
      <w:r w:rsidR="00C77202">
        <w:rPr>
          <w:rFonts w:ascii="Times New Roman" w:hAnsi="Times New Roman" w:cs="Times New Roman"/>
          <w:sz w:val="24"/>
          <w:szCs w:val="24"/>
        </w:rPr>
        <w:t xml:space="preserve"> от Котел ПТ 10.</w:t>
      </w:r>
      <w:r w:rsidR="00CC7650">
        <w:rPr>
          <w:rFonts w:ascii="Times New Roman" w:hAnsi="Times New Roman" w:cs="Times New Roman"/>
          <w:sz w:val="24"/>
          <w:szCs w:val="24"/>
        </w:rPr>
        <w:t xml:space="preserve"> Таксите за депониране на отпадъци са завишени, съгл. действащата нормативна уредба.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66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661D">
        <w:rPr>
          <w:rFonts w:ascii="Times New Roman" w:hAnsi="Times New Roman" w:cs="Times New Roman"/>
          <w:sz w:val="24"/>
          <w:szCs w:val="24"/>
        </w:rPr>
        <w:t>.ПРИХОДИ ОТ ПРИСЪЕДИНЯВАНЕ И УСЛУГИ.</w:t>
      </w:r>
      <w:proofErr w:type="gramEnd"/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Не са прогнозирани приходи от присъединяване на нови потребители,</w:t>
      </w:r>
      <w:r w:rsidR="008E39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защото от няколко години няма такива.</w:t>
      </w:r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9661D">
        <w:rPr>
          <w:rFonts w:ascii="Times New Roman" w:hAnsi="Times New Roman" w:cs="Times New Roman"/>
          <w:sz w:val="24"/>
          <w:szCs w:val="24"/>
        </w:rPr>
        <w:t>.ПРОМЕНЛИВИ РАЗХОДИ</w:t>
      </w:r>
    </w:p>
    <w:p w:rsidR="00FF60F4" w:rsidRDefault="00FF60F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0F4" w:rsidRPr="00C863C5" w:rsidRDefault="00FF60F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863C5">
        <w:rPr>
          <w:rFonts w:ascii="Times New Roman" w:hAnsi="Times New Roman" w:cs="Times New Roman"/>
          <w:b/>
          <w:i/>
          <w:sz w:val="24"/>
          <w:szCs w:val="24"/>
        </w:rPr>
        <w:t xml:space="preserve">Прогнозната информация по приложения изчислителен модел е разработена с </w:t>
      </w:r>
      <w:r w:rsidR="00263C30" w:rsidRPr="00C863C5">
        <w:rPr>
          <w:rFonts w:ascii="Times New Roman" w:hAnsi="Times New Roman" w:cs="Times New Roman"/>
          <w:b/>
          <w:i/>
          <w:sz w:val="24"/>
          <w:szCs w:val="24"/>
        </w:rPr>
        <w:t xml:space="preserve">действаща цена на природен газ към момента на подаване на заявлението </w:t>
      </w:r>
      <w:r w:rsidR="007B4FD1" w:rsidRPr="00C863C5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C863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63C5" w:rsidRPr="00C863C5">
        <w:rPr>
          <w:rFonts w:ascii="Times New Roman" w:hAnsi="Times New Roman" w:cs="Times New Roman"/>
          <w:b/>
          <w:i/>
          <w:sz w:val="24"/>
          <w:szCs w:val="24"/>
        </w:rPr>
        <w:t>611,27</w:t>
      </w:r>
      <w:r w:rsidR="00263C30" w:rsidRPr="00C863C5">
        <w:rPr>
          <w:rFonts w:ascii="Times New Roman" w:hAnsi="Times New Roman" w:cs="Times New Roman"/>
          <w:b/>
          <w:i/>
          <w:sz w:val="24"/>
          <w:szCs w:val="24"/>
        </w:rPr>
        <w:t xml:space="preserve"> лв./1000м3  без ДДС</w:t>
      </w:r>
      <w:r w:rsidRPr="00C863C5">
        <w:rPr>
          <w:rFonts w:ascii="Times New Roman" w:hAnsi="Times New Roman" w:cs="Times New Roman"/>
          <w:b/>
          <w:i/>
          <w:sz w:val="24"/>
          <w:szCs w:val="24"/>
        </w:rPr>
        <w:t xml:space="preserve"> и акциз за „Овергаз Север“ АД , който е доставчик на природен газ за „Топлофикация ВТ“ АД.</w:t>
      </w:r>
    </w:p>
    <w:p w:rsidR="00ED0CC2" w:rsidRDefault="00ED0CC2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044E" w:rsidRDefault="00263C30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>Разходи за вода</w:t>
      </w:r>
    </w:p>
    <w:p w:rsidR="00A10A54" w:rsidRPr="00263C30" w:rsidRDefault="00A10A5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044E" w:rsidRPr="00F01DC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DCD">
        <w:rPr>
          <w:rFonts w:ascii="Times New Roman" w:hAnsi="Times New Roman" w:cs="Times New Roman"/>
          <w:sz w:val="24"/>
          <w:szCs w:val="24"/>
        </w:rPr>
        <w:t xml:space="preserve">Отчетените разходи за вода </w:t>
      </w:r>
      <w:r w:rsidR="00EF2F00">
        <w:rPr>
          <w:rFonts w:ascii="Times New Roman" w:hAnsi="Times New Roman" w:cs="Times New Roman"/>
          <w:sz w:val="24"/>
          <w:szCs w:val="24"/>
        </w:rPr>
        <w:t>в</w:t>
      </w:r>
      <w:r w:rsidRPr="00F01DCD">
        <w:rPr>
          <w:rFonts w:ascii="Times New Roman" w:hAnsi="Times New Roman" w:cs="Times New Roman"/>
          <w:sz w:val="24"/>
          <w:szCs w:val="24"/>
        </w:rPr>
        <w:t xml:space="preserve"> производство  за 201</w:t>
      </w:r>
      <w:r w:rsidR="00CC7650">
        <w:rPr>
          <w:rFonts w:ascii="Times New Roman" w:hAnsi="Times New Roman" w:cs="Times New Roman"/>
          <w:sz w:val="24"/>
          <w:szCs w:val="24"/>
        </w:rPr>
        <w:t>9</w:t>
      </w:r>
      <w:r w:rsidRPr="00F01DCD">
        <w:rPr>
          <w:rFonts w:ascii="Times New Roman" w:hAnsi="Times New Roman" w:cs="Times New Roman"/>
          <w:sz w:val="24"/>
          <w:szCs w:val="24"/>
        </w:rPr>
        <w:t xml:space="preserve">г. са </w:t>
      </w:r>
      <w:r w:rsidR="00CC7650" w:rsidRPr="00CC7650">
        <w:rPr>
          <w:rFonts w:ascii="Times New Roman" w:hAnsi="Times New Roman" w:cs="Times New Roman"/>
          <w:b/>
          <w:sz w:val="24"/>
          <w:szCs w:val="24"/>
        </w:rPr>
        <w:t>228</w:t>
      </w:r>
      <w:r w:rsidRPr="00CC7650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F01DCD">
        <w:rPr>
          <w:rFonts w:ascii="Times New Roman" w:hAnsi="Times New Roman" w:cs="Times New Roman"/>
          <w:b/>
          <w:sz w:val="24"/>
          <w:szCs w:val="24"/>
        </w:rPr>
        <w:t>.</w:t>
      </w:r>
    </w:p>
    <w:p w:rsidR="00F1765F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</w:t>
      </w:r>
      <w:r w:rsidR="00CC7650">
        <w:rPr>
          <w:rFonts w:ascii="Times New Roman" w:hAnsi="Times New Roman" w:cs="Times New Roman"/>
          <w:b/>
          <w:sz w:val="24"/>
          <w:szCs w:val="24"/>
        </w:rPr>
        <w:t>20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CC4718">
        <w:rPr>
          <w:rFonts w:ascii="Times New Roman" w:hAnsi="Times New Roman" w:cs="Times New Roman"/>
          <w:b/>
          <w:sz w:val="24"/>
          <w:szCs w:val="24"/>
        </w:rPr>
        <w:t>2</w:t>
      </w:r>
      <w:r w:rsidR="00CC7650">
        <w:rPr>
          <w:rFonts w:ascii="Times New Roman" w:hAnsi="Times New Roman" w:cs="Times New Roman"/>
          <w:b/>
          <w:sz w:val="24"/>
          <w:szCs w:val="24"/>
        </w:rPr>
        <w:t>1</w:t>
      </w:r>
      <w:r w:rsidRPr="0019661D">
        <w:rPr>
          <w:rFonts w:ascii="Times New Roman" w:hAnsi="Times New Roman" w:cs="Times New Roman"/>
          <w:b/>
          <w:sz w:val="24"/>
          <w:szCs w:val="24"/>
        </w:rPr>
        <w:t>г. разходите за вода в производство</w:t>
      </w:r>
      <w:r w:rsidR="00CC7650">
        <w:rPr>
          <w:rFonts w:ascii="Times New Roman" w:hAnsi="Times New Roman" w:cs="Times New Roman"/>
          <w:b/>
          <w:sz w:val="24"/>
          <w:szCs w:val="24"/>
        </w:rPr>
        <w:t>то са завишени,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във връзка с въвеждането на Котел ПТ 10 в действие – за технологични нужди – очистване на димни газове от прах чрез воден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скубер</w:t>
      </w:r>
      <w:proofErr w:type="spellEnd"/>
      <w:r w:rsidR="00CC4718">
        <w:rPr>
          <w:rFonts w:ascii="Times New Roman" w:hAnsi="Times New Roman" w:cs="Times New Roman"/>
          <w:b/>
          <w:sz w:val="24"/>
          <w:szCs w:val="24"/>
        </w:rPr>
        <w:t xml:space="preserve"> и поради  повишение цената на водата от 01.01.20</w:t>
      </w:r>
      <w:r w:rsidR="003E490B">
        <w:rPr>
          <w:rFonts w:ascii="Times New Roman" w:hAnsi="Times New Roman" w:cs="Times New Roman"/>
          <w:b/>
          <w:sz w:val="24"/>
          <w:szCs w:val="24"/>
        </w:rPr>
        <w:t>20</w:t>
      </w:r>
      <w:r w:rsidR="00CC4718">
        <w:rPr>
          <w:rFonts w:ascii="Times New Roman" w:hAnsi="Times New Roman" w:cs="Times New Roman"/>
          <w:b/>
          <w:sz w:val="24"/>
          <w:szCs w:val="24"/>
        </w:rPr>
        <w:t>г. на В и К „</w:t>
      </w:r>
      <w:proofErr w:type="spellStart"/>
      <w:r w:rsidR="00CC4718">
        <w:rPr>
          <w:rFonts w:ascii="Times New Roman" w:hAnsi="Times New Roman" w:cs="Times New Roman"/>
          <w:b/>
          <w:sz w:val="24"/>
          <w:szCs w:val="24"/>
        </w:rPr>
        <w:t>Йовковци</w:t>
      </w:r>
      <w:proofErr w:type="spellEnd"/>
      <w:r w:rsidR="00CC4718">
        <w:rPr>
          <w:rFonts w:ascii="Times New Roman" w:hAnsi="Times New Roman" w:cs="Times New Roman"/>
          <w:b/>
          <w:sz w:val="24"/>
          <w:szCs w:val="24"/>
        </w:rPr>
        <w:t>“ ООД В.Търново.</w:t>
      </w:r>
    </w:p>
    <w:p w:rsidR="00CC4718" w:rsidRDefault="00CC471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718" w:rsidRPr="00CC4718" w:rsidRDefault="00CC4718" w:rsidP="00860C3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718">
        <w:rPr>
          <w:rFonts w:ascii="Times New Roman" w:hAnsi="Times New Roman" w:cs="Times New Roman"/>
          <w:i/>
          <w:sz w:val="24"/>
          <w:szCs w:val="24"/>
        </w:rPr>
        <w:t xml:space="preserve">„Топлофикация ВТ“ АД ползва питейна вода от В и К“ </w:t>
      </w:r>
      <w:proofErr w:type="spellStart"/>
      <w:r w:rsidRPr="00CC4718">
        <w:rPr>
          <w:rFonts w:ascii="Times New Roman" w:hAnsi="Times New Roman" w:cs="Times New Roman"/>
          <w:i/>
          <w:sz w:val="24"/>
          <w:szCs w:val="24"/>
        </w:rPr>
        <w:t>Йовковци</w:t>
      </w:r>
      <w:proofErr w:type="spellEnd"/>
      <w:r w:rsidRPr="00CC4718">
        <w:rPr>
          <w:rFonts w:ascii="Times New Roman" w:hAnsi="Times New Roman" w:cs="Times New Roman"/>
          <w:i/>
          <w:sz w:val="24"/>
          <w:szCs w:val="24"/>
        </w:rPr>
        <w:t>“ ООД за технологични нужди.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996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052">
        <w:rPr>
          <w:rFonts w:ascii="Times New Roman" w:hAnsi="Times New Roman" w:cs="Times New Roman"/>
          <w:b/>
          <w:sz w:val="24"/>
          <w:szCs w:val="24"/>
        </w:rPr>
        <w:t xml:space="preserve">Разходите за акциз </w:t>
      </w:r>
    </w:p>
    <w:p w:rsidR="00A10A54" w:rsidRDefault="00A10A5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052" w:rsidRPr="00D03996" w:rsidRDefault="00D039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996">
        <w:rPr>
          <w:rFonts w:ascii="Times New Roman" w:hAnsi="Times New Roman" w:cs="Times New Roman"/>
          <w:sz w:val="24"/>
          <w:szCs w:val="24"/>
        </w:rPr>
        <w:t xml:space="preserve">Разходите за акциз </w:t>
      </w:r>
      <w:r w:rsidR="00F1765F" w:rsidRPr="00D03996">
        <w:rPr>
          <w:rFonts w:ascii="Times New Roman" w:hAnsi="Times New Roman" w:cs="Times New Roman"/>
          <w:sz w:val="24"/>
          <w:szCs w:val="24"/>
        </w:rPr>
        <w:t>за 201</w:t>
      </w:r>
      <w:r w:rsidR="003E490B">
        <w:rPr>
          <w:rFonts w:ascii="Times New Roman" w:hAnsi="Times New Roman" w:cs="Times New Roman"/>
          <w:sz w:val="24"/>
          <w:szCs w:val="24"/>
        </w:rPr>
        <w:t>9</w:t>
      </w:r>
      <w:r w:rsidR="00F1765F" w:rsidRPr="00D03996">
        <w:rPr>
          <w:rFonts w:ascii="Times New Roman" w:hAnsi="Times New Roman" w:cs="Times New Roman"/>
          <w:sz w:val="24"/>
          <w:szCs w:val="24"/>
        </w:rPr>
        <w:t xml:space="preserve">г. са </w:t>
      </w:r>
      <w:r w:rsidR="003E490B">
        <w:rPr>
          <w:rFonts w:ascii="Times New Roman" w:hAnsi="Times New Roman" w:cs="Times New Roman"/>
          <w:sz w:val="24"/>
          <w:szCs w:val="24"/>
        </w:rPr>
        <w:t>94</w:t>
      </w:r>
      <w:r w:rsidR="00FD5951">
        <w:rPr>
          <w:rFonts w:ascii="Times New Roman" w:hAnsi="Times New Roman" w:cs="Times New Roman"/>
          <w:sz w:val="24"/>
          <w:szCs w:val="24"/>
        </w:rPr>
        <w:t xml:space="preserve"> </w:t>
      </w:r>
      <w:r w:rsidR="00F1765F" w:rsidRPr="00D03996">
        <w:rPr>
          <w:rFonts w:ascii="Times New Roman" w:hAnsi="Times New Roman" w:cs="Times New Roman"/>
          <w:sz w:val="24"/>
          <w:szCs w:val="24"/>
        </w:rPr>
        <w:t>х.лв.</w:t>
      </w:r>
    </w:p>
    <w:p w:rsidR="00014C27" w:rsidRPr="00837064" w:rsidRDefault="004A105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064">
        <w:rPr>
          <w:rFonts w:ascii="Times New Roman" w:hAnsi="Times New Roman" w:cs="Times New Roman"/>
          <w:sz w:val="24"/>
          <w:szCs w:val="24"/>
        </w:rPr>
        <w:t>През ценовия период 01.07.20</w:t>
      </w:r>
      <w:r w:rsidR="003E490B">
        <w:rPr>
          <w:rFonts w:ascii="Times New Roman" w:hAnsi="Times New Roman" w:cs="Times New Roman"/>
          <w:sz w:val="24"/>
          <w:szCs w:val="24"/>
        </w:rPr>
        <w:t>20</w:t>
      </w:r>
      <w:r w:rsidRPr="00837064">
        <w:rPr>
          <w:rFonts w:ascii="Times New Roman" w:hAnsi="Times New Roman" w:cs="Times New Roman"/>
          <w:sz w:val="24"/>
          <w:szCs w:val="24"/>
        </w:rPr>
        <w:t>г.- 30.06.20</w:t>
      </w:r>
      <w:r w:rsidR="00CC4718">
        <w:rPr>
          <w:rFonts w:ascii="Times New Roman" w:hAnsi="Times New Roman" w:cs="Times New Roman"/>
          <w:sz w:val="24"/>
          <w:szCs w:val="24"/>
        </w:rPr>
        <w:t>2</w:t>
      </w:r>
      <w:r w:rsidR="003E490B">
        <w:rPr>
          <w:rFonts w:ascii="Times New Roman" w:hAnsi="Times New Roman" w:cs="Times New Roman"/>
          <w:sz w:val="24"/>
          <w:szCs w:val="24"/>
        </w:rPr>
        <w:t>1</w:t>
      </w:r>
      <w:r w:rsidRPr="00837064">
        <w:rPr>
          <w:rFonts w:ascii="Times New Roman" w:hAnsi="Times New Roman" w:cs="Times New Roman"/>
          <w:sz w:val="24"/>
          <w:szCs w:val="24"/>
        </w:rPr>
        <w:t xml:space="preserve">г.разходите за акциз са </w:t>
      </w:r>
      <w:r w:rsidR="00837064" w:rsidRPr="00837064">
        <w:rPr>
          <w:rFonts w:ascii="Times New Roman" w:hAnsi="Times New Roman" w:cs="Times New Roman"/>
          <w:sz w:val="24"/>
          <w:szCs w:val="24"/>
        </w:rPr>
        <w:t>1</w:t>
      </w:r>
      <w:r w:rsidR="003E490B">
        <w:rPr>
          <w:rFonts w:ascii="Times New Roman" w:hAnsi="Times New Roman" w:cs="Times New Roman"/>
          <w:sz w:val="24"/>
          <w:szCs w:val="24"/>
        </w:rPr>
        <w:t xml:space="preserve">77 </w:t>
      </w:r>
      <w:r w:rsidR="004E68BF" w:rsidRPr="00837064">
        <w:rPr>
          <w:rFonts w:ascii="Times New Roman" w:hAnsi="Times New Roman" w:cs="Times New Roman"/>
          <w:sz w:val="24"/>
          <w:szCs w:val="24"/>
        </w:rPr>
        <w:t xml:space="preserve">х.лв., </w:t>
      </w:r>
      <w:r w:rsidR="00CC4718">
        <w:rPr>
          <w:rFonts w:ascii="Times New Roman" w:hAnsi="Times New Roman" w:cs="Times New Roman"/>
          <w:sz w:val="24"/>
          <w:szCs w:val="24"/>
        </w:rPr>
        <w:t>и са свързани с</w:t>
      </w:r>
      <w:r w:rsidR="008773C2" w:rsidRPr="00837064">
        <w:rPr>
          <w:rFonts w:ascii="Times New Roman" w:hAnsi="Times New Roman" w:cs="Times New Roman"/>
          <w:sz w:val="24"/>
          <w:szCs w:val="24"/>
        </w:rPr>
        <w:t xml:space="preserve"> </w:t>
      </w:r>
      <w:r w:rsidR="00CC4718">
        <w:rPr>
          <w:rFonts w:ascii="Times New Roman" w:hAnsi="Times New Roman" w:cs="Times New Roman"/>
          <w:sz w:val="24"/>
          <w:szCs w:val="24"/>
        </w:rPr>
        <w:t xml:space="preserve">увеличеното </w:t>
      </w:r>
      <w:r w:rsidR="008773C2" w:rsidRPr="00837064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4E68BF" w:rsidRPr="00837064">
        <w:rPr>
          <w:rFonts w:ascii="Times New Roman" w:hAnsi="Times New Roman" w:cs="Times New Roman"/>
          <w:sz w:val="24"/>
          <w:szCs w:val="24"/>
        </w:rPr>
        <w:t xml:space="preserve"> прир</w:t>
      </w:r>
      <w:r w:rsidR="00D03996" w:rsidRPr="00837064">
        <w:rPr>
          <w:rFonts w:ascii="Times New Roman" w:hAnsi="Times New Roman" w:cs="Times New Roman"/>
          <w:sz w:val="24"/>
          <w:szCs w:val="24"/>
        </w:rPr>
        <w:t>оден</w:t>
      </w:r>
      <w:r w:rsidR="00806F85" w:rsidRPr="00837064">
        <w:rPr>
          <w:rFonts w:ascii="Times New Roman" w:hAnsi="Times New Roman" w:cs="Times New Roman"/>
          <w:sz w:val="24"/>
          <w:szCs w:val="24"/>
        </w:rPr>
        <w:t xml:space="preserve"> </w:t>
      </w:r>
      <w:r w:rsidR="004E68BF" w:rsidRPr="00837064">
        <w:rPr>
          <w:rFonts w:ascii="Times New Roman" w:hAnsi="Times New Roman" w:cs="Times New Roman"/>
          <w:sz w:val="24"/>
          <w:szCs w:val="24"/>
        </w:rPr>
        <w:t>газ за новия ценови перио</w:t>
      </w:r>
      <w:r w:rsidR="00F97CC0" w:rsidRPr="00837064">
        <w:rPr>
          <w:rFonts w:ascii="Times New Roman" w:hAnsi="Times New Roman" w:cs="Times New Roman"/>
          <w:sz w:val="24"/>
          <w:szCs w:val="24"/>
        </w:rPr>
        <w:t>д.</w:t>
      </w:r>
      <w:r w:rsidR="004E68BF" w:rsidRPr="008370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C27" w:rsidRPr="0019661D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Обръщаме Ви внимание че „Топлофикация ВТ“ АД не е лицензирана по Закона за енергетиката като производител на електрическа енергия,</w:t>
      </w:r>
      <w:r w:rsidR="002C302B" w:rsidRPr="001966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i/>
          <w:sz w:val="24"/>
          <w:szCs w:val="24"/>
        </w:rPr>
        <w:t xml:space="preserve">поради инсталирана електрическа мощност 2,8 </w:t>
      </w:r>
      <w:proofErr w:type="spellStart"/>
      <w:r w:rsidRPr="0019661D">
        <w:rPr>
          <w:rFonts w:ascii="Times New Roman" w:hAnsi="Times New Roman" w:cs="Times New Roman"/>
          <w:b/>
          <w:i/>
          <w:sz w:val="24"/>
          <w:szCs w:val="24"/>
        </w:rPr>
        <w:t>Мвт</w:t>
      </w:r>
      <w:proofErr w:type="spellEnd"/>
      <w:r w:rsidRPr="0019661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14C27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Поради тази причина Дружеството плаща акциз за изразходваното количество природен газ за произведената електрическа енергия.</w:t>
      </w:r>
    </w:p>
    <w:p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3B1C7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E35DB"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E35DB" w:rsidRPr="0019661D">
        <w:rPr>
          <w:rFonts w:ascii="Times New Roman" w:hAnsi="Times New Roman" w:cs="Times New Roman"/>
          <w:sz w:val="24"/>
          <w:szCs w:val="24"/>
        </w:rPr>
        <w:t>.СПРАВКА ЗА СРЕДНО ПРЕТЕГЛЕНА НОРМА НА ВЪЗВРАЩАЕМОСТ НА ПРИВЛЕЧЕНИЯ КАПИТАЛ КЪМ 31.12.201</w:t>
      </w:r>
      <w:r w:rsidR="003E490B">
        <w:rPr>
          <w:rFonts w:ascii="Times New Roman" w:hAnsi="Times New Roman" w:cs="Times New Roman"/>
          <w:sz w:val="24"/>
          <w:szCs w:val="24"/>
        </w:rPr>
        <w:t>9</w:t>
      </w:r>
      <w:r w:rsidR="001E35DB" w:rsidRPr="0019661D">
        <w:rPr>
          <w:rFonts w:ascii="Times New Roman" w:hAnsi="Times New Roman" w:cs="Times New Roman"/>
          <w:sz w:val="24"/>
          <w:szCs w:val="24"/>
        </w:rPr>
        <w:t>г.</w:t>
      </w:r>
      <w:proofErr w:type="gramEnd"/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 Год.размер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Год.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>л</w:t>
      </w:r>
      <w:r w:rsidRPr="0019661D">
        <w:rPr>
          <w:rFonts w:ascii="Times New Roman" w:hAnsi="Times New Roman" w:cs="Times New Roman"/>
          <w:b/>
          <w:sz w:val="24"/>
          <w:szCs w:val="24"/>
        </w:rPr>
        <w:t>ихва</w:t>
      </w:r>
    </w:p>
    <w:p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31.12.201</w:t>
      </w:r>
      <w:r w:rsidR="003E490B">
        <w:rPr>
          <w:rFonts w:ascii="Times New Roman" w:hAnsi="Times New Roman" w:cs="Times New Roman"/>
          <w:b/>
          <w:sz w:val="24"/>
          <w:szCs w:val="24"/>
        </w:rPr>
        <w:t>9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Лихвен %       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 лева</w:t>
      </w:r>
    </w:p>
    <w:p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об.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ср-ва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796087">
        <w:rPr>
          <w:rFonts w:ascii="Times New Roman" w:hAnsi="Times New Roman" w:cs="Times New Roman"/>
          <w:sz w:val="24"/>
          <w:szCs w:val="24"/>
        </w:rPr>
        <w:t>5</w:t>
      </w:r>
      <w:r w:rsidR="003E490B">
        <w:rPr>
          <w:rFonts w:ascii="Times New Roman" w:hAnsi="Times New Roman" w:cs="Times New Roman"/>
          <w:sz w:val="24"/>
          <w:szCs w:val="24"/>
        </w:rPr>
        <w:t>0</w:t>
      </w:r>
      <w:r w:rsidR="00D642CE">
        <w:rPr>
          <w:rFonts w:ascii="Times New Roman" w:hAnsi="Times New Roman" w:cs="Times New Roman"/>
          <w:sz w:val="24"/>
          <w:szCs w:val="24"/>
        </w:rPr>
        <w:t>0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476AF7"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Start"/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  <w:r w:rsidR="00476AF7">
        <w:rPr>
          <w:rFonts w:ascii="Times New Roman" w:hAnsi="Times New Roman" w:cs="Times New Roman"/>
          <w:sz w:val="24"/>
          <w:szCs w:val="24"/>
          <w:lang w:val="en-US"/>
        </w:rPr>
        <w:t>25 000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17044E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796087">
        <w:rPr>
          <w:rFonts w:ascii="Times New Roman" w:hAnsi="Times New Roman" w:cs="Times New Roman"/>
          <w:sz w:val="24"/>
          <w:szCs w:val="24"/>
        </w:rPr>
        <w:t>3</w:t>
      </w:r>
      <w:r w:rsidR="003E490B">
        <w:rPr>
          <w:rFonts w:ascii="Times New Roman" w:hAnsi="Times New Roman" w:cs="Times New Roman"/>
          <w:sz w:val="24"/>
          <w:szCs w:val="24"/>
        </w:rPr>
        <w:t>25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="00B33987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476AF7"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Start"/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  <w:r w:rsidR="00476AF7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760C6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476AF7">
        <w:rPr>
          <w:rFonts w:ascii="Times New Roman" w:hAnsi="Times New Roman" w:cs="Times New Roman"/>
          <w:sz w:val="24"/>
          <w:szCs w:val="24"/>
          <w:lang w:val="en-US"/>
        </w:rPr>
        <w:t>260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Pr="0019661D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>ДАОС АД     – за обор.</w:t>
      </w:r>
      <w:proofErr w:type="spellStart"/>
      <w:r w:rsidR="000704F0" w:rsidRPr="0019661D">
        <w:rPr>
          <w:rFonts w:ascii="Times New Roman" w:hAnsi="Times New Roman" w:cs="Times New Roman"/>
          <w:sz w:val="24"/>
          <w:szCs w:val="24"/>
        </w:rPr>
        <w:t>ср-ва</w:t>
      </w:r>
      <w:proofErr w:type="spellEnd"/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              716 х.лв.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</w:t>
      </w:r>
      <w:proofErr w:type="gramStart"/>
      <w:r w:rsidR="000704F0" w:rsidRPr="0019661D">
        <w:rPr>
          <w:rFonts w:ascii="Times New Roman" w:hAnsi="Times New Roman" w:cs="Times New Roman"/>
          <w:sz w:val="24"/>
          <w:szCs w:val="24"/>
        </w:rPr>
        <w:t>,0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</w:t>
      </w:r>
      <w:proofErr w:type="gramEnd"/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%           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42 960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>лв.</w:t>
      </w:r>
    </w:p>
    <w:p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6EF8">
        <w:rPr>
          <w:rFonts w:ascii="Times New Roman" w:hAnsi="Times New Roman" w:cs="Times New Roman"/>
          <w:sz w:val="24"/>
          <w:szCs w:val="24"/>
        </w:rPr>
        <w:t>Еко енергия холдинг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ЕООД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CF716B">
        <w:rPr>
          <w:rFonts w:ascii="Times New Roman" w:hAnsi="Times New Roman" w:cs="Times New Roman"/>
          <w:sz w:val="24"/>
          <w:szCs w:val="24"/>
        </w:rPr>
        <w:t>680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proofErr w:type="gramStart"/>
      <w:r w:rsidRPr="0019661D">
        <w:rPr>
          <w:rFonts w:ascii="Times New Roman" w:hAnsi="Times New Roman" w:cs="Times New Roman"/>
          <w:sz w:val="24"/>
          <w:szCs w:val="24"/>
        </w:rPr>
        <w:t>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="009D5315">
        <w:rPr>
          <w:rFonts w:ascii="Times New Roman" w:hAnsi="Times New Roman" w:cs="Times New Roman"/>
          <w:sz w:val="24"/>
          <w:szCs w:val="24"/>
          <w:lang w:val="en-US"/>
        </w:rPr>
        <w:t>50 990</w:t>
      </w:r>
      <w:r w:rsidR="009D5315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лв.</w:t>
      </w:r>
    </w:p>
    <w:p w:rsidR="000704F0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Облигационен заем                     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="003E490B">
        <w:rPr>
          <w:rFonts w:ascii="Times New Roman" w:hAnsi="Times New Roman" w:cs="Times New Roman"/>
          <w:sz w:val="24"/>
          <w:szCs w:val="24"/>
        </w:rPr>
        <w:t xml:space="preserve">   520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="00B33987">
        <w:rPr>
          <w:rFonts w:ascii="Times New Roman" w:hAnsi="Times New Roman" w:cs="Times New Roman"/>
          <w:sz w:val="24"/>
          <w:szCs w:val="24"/>
        </w:rPr>
        <w:t xml:space="preserve"> </w:t>
      </w:r>
      <w:r w:rsidR="00D642CE">
        <w:rPr>
          <w:rFonts w:ascii="Times New Roman" w:hAnsi="Times New Roman" w:cs="Times New Roman"/>
          <w:sz w:val="24"/>
          <w:szCs w:val="24"/>
        </w:rPr>
        <w:t>5</w:t>
      </w:r>
      <w:r w:rsidR="000704F0" w:rsidRPr="0019661D">
        <w:rPr>
          <w:rFonts w:ascii="Times New Roman" w:hAnsi="Times New Roman" w:cs="Times New Roman"/>
          <w:sz w:val="24"/>
          <w:szCs w:val="24"/>
        </w:rPr>
        <w:t>,50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%         </w:t>
      </w:r>
      <w:r w:rsidR="00612B99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D5315">
        <w:rPr>
          <w:rFonts w:ascii="Times New Roman" w:hAnsi="Times New Roman" w:cs="Times New Roman"/>
          <w:sz w:val="24"/>
          <w:szCs w:val="24"/>
        </w:rPr>
        <w:t xml:space="preserve">    28 600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1D1C4B" w:rsidRPr="0019661D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1C4B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="001D1C4B">
        <w:rPr>
          <w:rFonts w:ascii="Times New Roman" w:hAnsi="Times New Roman" w:cs="Times New Roman"/>
          <w:sz w:val="24"/>
          <w:szCs w:val="24"/>
        </w:rPr>
        <w:t xml:space="preserve"> трейд  </w:t>
      </w:r>
      <w:proofErr w:type="spellStart"/>
      <w:r w:rsidR="001D1C4B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="001D1C4B">
        <w:rPr>
          <w:rFonts w:ascii="Times New Roman" w:hAnsi="Times New Roman" w:cs="Times New Roman"/>
          <w:sz w:val="24"/>
          <w:szCs w:val="24"/>
        </w:rPr>
        <w:t xml:space="preserve">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 w:rsidR="001D1C4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F716B">
        <w:rPr>
          <w:rFonts w:ascii="Times New Roman" w:hAnsi="Times New Roman" w:cs="Times New Roman"/>
          <w:sz w:val="24"/>
          <w:szCs w:val="24"/>
        </w:rPr>
        <w:t>4 099</w:t>
      </w:r>
      <w:r w:rsidR="001D1C4B">
        <w:rPr>
          <w:rFonts w:ascii="Times New Roman" w:hAnsi="Times New Roman" w:cs="Times New Roman"/>
          <w:sz w:val="24"/>
          <w:szCs w:val="24"/>
        </w:rPr>
        <w:t xml:space="preserve"> х.лв.                      </w:t>
      </w:r>
      <w:r w:rsidR="002760C6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7,50 %               </w:t>
      </w:r>
      <w:r w:rsidR="009D5315">
        <w:rPr>
          <w:rFonts w:ascii="Times New Roman" w:hAnsi="Times New Roman" w:cs="Times New Roman"/>
          <w:sz w:val="24"/>
          <w:szCs w:val="24"/>
        </w:rPr>
        <w:t>307 400</w:t>
      </w:r>
      <w:r w:rsidR="001D1C4B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796087" w:rsidRPr="001D1C4B" w:rsidRDefault="001D1C4B" w:rsidP="00B80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FD5">
        <w:rPr>
          <w:rFonts w:ascii="Times New Roman" w:hAnsi="Times New Roman" w:cs="Times New Roman"/>
          <w:b/>
          <w:sz w:val="24"/>
          <w:szCs w:val="24"/>
        </w:rPr>
        <w:t>6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16B">
        <w:rPr>
          <w:rFonts w:ascii="Times New Roman" w:hAnsi="Times New Roman" w:cs="Times New Roman"/>
          <w:b/>
          <w:sz w:val="24"/>
          <w:szCs w:val="24"/>
        </w:rPr>
        <w:t>840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476AF7">
        <w:rPr>
          <w:rFonts w:ascii="Times New Roman" w:hAnsi="Times New Roman" w:cs="Times New Roman"/>
          <w:b/>
          <w:sz w:val="24"/>
          <w:szCs w:val="24"/>
          <w:lang w:val="en-US"/>
        </w:rPr>
        <w:t>471 210</w:t>
      </w:r>
      <w:r w:rsidRPr="00716EF8">
        <w:rPr>
          <w:rFonts w:ascii="Times New Roman" w:hAnsi="Times New Roman" w:cs="Times New Roman"/>
          <w:b/>
          <w:sz w:val="24"/>
          <w:szCs w:val="24"/>
        </w:rPr>
        <w:t>лв.</w:t>
      </w:r>
      <w:proofErr w:type="gramEnd"/>
    </w:p>
    <w:p w:rsidR="0017044E" w:rsidRPr="0019661D" w:rsidRDefault="0017044E" w:rsidP="00B80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44E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=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4</w:t>
      </w:r>
      <w:r w:rsidR="00476AF7">
        <w:rPr>
          <w:rFonts w:ascii="Times New Roman" w:hAnsi="Times New Roman" w:cs="Times New Roman"/>
          <w:b/>
          <w:sz w:val="24"/>
          <w:szCs w:val="24"/>
          <w:lang w:val="en-US"/>
        </w:rPr>
        <w:t>71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лв. :  </w:t>
      </w:r>
      <w:r w:rsidR="00612B99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9D5315">
        <w:rPr>
          <w:rFonts w:ascii="Times New Roman" w:hAnsi="Times New Roman" w:cs="Times New Roman"/>
          <w:b/>
          <w:sz w:val="24"/>
          <w:szCs w:val="24"/>
        </w:rPr>
        <w:t>840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="000C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 *100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>=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AF7">
        <w:rPr>
          <w:rFonts w:ascii="Times New Roman" w:hAnsi="Times New Roman" w:cs="Times New Roman"/>
          <w:b/>
          <w:sz w:val="24"/>
          <w:szCs w:val="24"/>
          <w:lang w:val="en-US"/>
        </w:rPr>
        <w:t>6.88</w:t>
      </w:r>
      <w:r w:rsidRPr="00716EF8">
        <w:rPr>
          <w:rFonts w:ascii="Times New Roman" w:hAnsi="Times New Roman" w:cs="Times New Roman"/>
          <w:b/>
          <w:sz w:val="24"/>
          <w:szCs w:val="24"/>
        </w:rPr>
        <w:t>%</w:t>
      </w:r>
    </w:p>
    <w:p w:rsidR="00C01264" w:rsidRPr="00343DDB" w:rsidRDefault="00C01264" w:rsidP="00B801B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01264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Поради забавените плащания за топлоенергия от битови, бюджетни, общински абонати „Топлофикация ВТ“ АД се затруднява при плащане </w:t>
      </w:r>
      <w:r w:rsidR="000250D9" w:rsidRPr="0019661D">
        <w:rPr>
          <w:rFonts w:ascii="Times New Roman" w:hAnsi="Times New Roman" w:cs="Times New Roman"/>
          <w:sz w:val="24"/>
          <w:szCs w:val="24"/>
        </w:rPr>
        <w:t>на авансовите вноски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 xml:space="preserve"> за природен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>газ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, </w:t>
      </w:r>
      <w:r w:rsidR="000250D9" w:rsidRPr="0019661D">
        <w:rPr>
          <w:rFonts w:ascii="Times New Roman" w:hAnsi="Times New Roman" w:cs="Times New Roman"/>
          <w:sz w:val="24"/>
          <w:szCs w:val="24"/>
        </w:rPr>
        <w:t>особено при започване на отоплителния сезон.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82F" w:rsidRPr="003E1EC4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6FE">
        <w:rPr>
          <w:rFonts w:ascii="Times New Roman" w:hAnsi="Times New Roman" w:cs="Times New Roman"/>
          <w:b/>
          <w:sz w:val="24"/>
          <w:szCs w:val="24"/>
        </w:rPr>
        <w:t>Трябва да се има в предвид и по- високата цена на природния газ, който дружеството</w:t>
      </w:r>
      <w:r w:rsidRPr="00E332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D76FE">
        <w:rPr>
          <w:rFonts w:ascii="Times New Roman" w:hAnsi="Times New Roman" w:cs="Times New Roman"/>
          <w:b/>
          <w:sz w:val="24"/>
          <w:szCs w:val="24"/>
        </w:rPr>
        <w:t xml:space="preserve">купува  от „ Овергаз Север“ ЕАД – </w:t>
      </w:r>
      <w:r w:rsidR="00DF486A">
        <w:rPr>
          <w:rFonts w:ascii="Times New Roman" w:hAnsi="Times New Roman" w:cs="Times New Roman"/>
          <w:b/>
          <w:sz w:val="24"/>
          <w:szCs w:val="24"/>
        </w:rPr>
        <w:t xml:space="preserve">на 1000куб.м. </w:t>
      </w:r>
      <w:r w:rsidRPr="001D76FE">
        <w:rPr>
          <w:rFonts w:ascii="Times New Roman" w:hAnsi="Times New Roman" w:cs="Times New Roman"/>
          <w:b/>
          <w:sz w:val="24"/>
          <w:szCs w:val="24"/>
        </w:rPr>
        <w:t>с</w:t>
      </w:r>
      <w:r w:rsidR="00DF486A">
        <w:rPr>
          <w:rFonts w:ascii="Times New Roman" w:hAnsi="Times New Roman" w:cs="Times New Roman"/>
          <w:b/>
          <w:sz w:val="24"/>
          <w:szCs w:val="24"/>
        </w:rPr>
        <w:t>ъс</w:t>
      </w:r>
      <w:r w:rsidRPr="001D76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70C">
        <w:rPr>
          <w:rFonts w:ascii="Times New Roman" w:hAnsi="Times New Roman" w:cs="Times New Roman"/>
          <w:b/>
          <w:sz w:val="24"/>
          <w:szCs w:val="24"/>
        </w:rPr>
        <w:t>120,23</w:t>
      </w:r>
      <w:r w:rsidRPr="001D76FE">
        <w:rPr>
          <w:rFonts w:ascii="Times New Roman" w:hAnsi="Times New Roman" w:cs="Times New Roman"/>
          <w:b/>
          <w:sz w:val="24"/>
          <w:szCs w:val="24"/>
        </w:rPr>
        <w:t xml:space="preserve"> лв. </w:t>
      </w:r>
      <w:r w:rsidR="003E1EC4">
        <w:rPr>
          <w:rFonts w:ascii="Times New Roman" w:hAnsi="Times New Roman" w:cs="Times New Roman"/>
          <w:b/>
          <w:sz w:val="24"/>
          <w:szCs w:val="24"/>
        </w:rPr>
        <w:t>и обща цена 611,27лв без ДДС.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Това налага ползването на кредити за оборотни средства и търсенето на други алтернативни горива за производство на топлинна енергия, с цел намаляване зависимостта на „Топлофикация ВТ“ АД от „ Овергаз Север“ ЕАД.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661D">
        <w:rPr>
          <w:rFonts w:ascii="Times New Roman" w:hAnsi="Times New Roman" w:cs="Times New Roman"/>
          <w:sz w:val="24"/>
          <w:szCs w:val="24"/>
        </w:rPr>
        <w:t>.РЕГУЛАТОРНА БАЗА НА АКТИВИТЕ НА ДРУЖЕСТВОТО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201</w:t>
      </w:r>
      <w:r w:rsidR="0067670C">
        <w:rPr>
          <w:rFonts w:ascii="Times New Roman" w:hAnsi="Times New Roman" w:cs="Times New Roman"/>
          <w:b/>
          <w:sz w:val="24"/>
          <w:szCs w:val="24"/>
        </w:rPr>
        <w:t>9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:rsidR="00D65F23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Признатата стойност на активите е отчетната стойност на активите към 31.12.201</w:t>
      </w:r>
      <w:r w:rsidR="0067670C">
        <w:rPr>
          <w:rFonts w:ascii="Times New Roman" w:hAnsi="Times New Roman" w:cs="Times New Roman"/>
          <w:sz w:val="24"/>
          <w:szCs w:val="24"/>
        </w:rPr>
        <w:t>9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:rsidR="0067670C" w:rsidRDefault="0067670C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70C" w:rsidRPr="0019661D" w:rsidRDefault="0067670C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31.12.201</w:t>
      </w:r>
      <w:r w:rsidR="0067670C">
        <w:rPr>
          <w:rFonts w:ascii="Times New Roman" w:hAnsi="Times New Roman" w:cs="Times New Roman"/>
          <w:b/>
          <w:sz w:val="24"/>
          <w:szCs w:val="24"/>
        </w:rPr>
        <w:t>9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а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/социални дейности/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Сграда бунгало с.</w:t>
      </w:r>
      <w:r w:rsidR="0067670C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Вонеща вода с отчетна стойност     </w:t>
      </w:r>
      <w:r w:rsidRPr="008E382F">
        <w:rPr>
          <w:rFonts w:ascii="Times New Roman" w:hAnsi="Times New Roman" w:cs="Times New Roman"/>
          <w:b/>
          <w:sz w:val="24"/>
          <w:szCs w:val="24"/>
        </w:rPr>
        <w:t>3 293,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38</w:t>
      </w:r>
      <w:r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Стопански инвентар с отчетна стойност                       </w:t>
      </w:r>
      <w:r w:rsidRPr="008E382F">
        <w:rPr>
          <w:rFonts w:ascii="Times New Roman" w:hAnsi="Times New Roman" w:cs="Times New Roman"/>
          <w:b/>
          <w:sz w:val="24"/>
          <w:szCs w:val="24"/>
        </w:rPr>
        <w:t>1 223,00лв.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б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ЛОЦ ул.“Васил Левски “ №21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 отчетна стойност       </w:t>
      </w:r>
      <w:r w:rsidRPr="008E382F">
        <w:rPr>
          <w:rFonts w:ascii="Times New Roman" w:hAnsi="Times New Roman" w:cs="Times New Roman"/>
          <w:b/>
          <w:sz w:val="24"/>
          <w:szCs w:val="24"/>
        </w:rPr>
        <w:t>13 541,22лв</w:t>
      </w:r>
      <w:r w:rsidRPr="008E382F">
        <w:rPr>
          <w:rFonts w:ascii="Times New Roman" w:hAnsi="Times New Roman" w:cs="Times New Roman"/>
          <w:sz w:val="24"/>
          <w:szCs w:val="24"/>
        </w:rPr>
        <w:t>.</w:t>
      </w:r>
    </w:p>
    <w:p w:rsidR="00436FB5" w:rsidRPr="008E382F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E382F">
        <w:rPr>
          <w:rFonts w:ascii="Times New Roman" w:hAnsi="Times New Roman" w:cs="Times New Roman"/>
          <w:sz w:val="24"/>
          <w:szCs w:val="24"/>
        </w:rPr>
        <w:t>Дърв</w:t>
      </w:r>
      <w:proofErr w:type="spellEnd"/>
      <w:r w:rsidRPr="008E382F">
        <w:rPr>
          <w:rFonts w:ascii="Times New Roman" w:hAnsi="Times New Roman" w:cs="Times New Roman"/>
          <w:sz w:val="24"/>
          <w:szCs w:val="24"/>
        </w:rPr>
        <w:t xml:space="preserve">.работилница ул.“В.Левски“23 с </w:t>
      </w:r>
      <w:proofErr w:type="spellStart"/>
      <w:r w:rsidRPr="008E382F">
        <w:rPr>
          <w:rFonts w:ascii="Times New Roman" w:hAnsi="Times New Roman" w:cs="Times New Roman"/>
          <w:sz w:val="24"/>
          <w:szCs w:val="24"/>
        </w:rPr>
        <w:t>отч</w:t>
      </w:r>
      <w:proofErr w:type="spellEnd"/>
      <w:r w:rsidRPr="008E382F">
        <w:rPr>
          <w:rFonts w:ascii="Times New Roman" w:hAnsi="Times New Roman" w:cs="Times New Roman"/>
          <w:sz w:val="24"/>
          <w:szCs w:val="24"/>
        </w:rPr>
        <w:t xml:space="preserve">. стойност     </w:t>
      </w:r>
      <w:r w:rsidRPr="008E382F">
        <w:rPr>
          <w:rFonts w:ascii="Times New Roman" w:hAnsi="Times New Roman" w:cs="Times New Roman"/>
          <w:b/>
          <w:sz w:val="24"/>
          <w:szCs w:val="24"/>
        </w:rPr>
        <w:t>7 695,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02</w:t>
      </w:r>
      <w:r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9B40C9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в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8E38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Консервирани дълготрайни материални активи с отчетна стойност </w:t>
      </w:r>
      <w:r w:rsidR="008E382F" w:rsidRPr="009B40C9">
        <w:rPr>
          <w:rFonts w:ascii="Times New Roman" w:hAnsi="Times New Roman" w:cs="Times New Roman"/>
          <w:b/>
          <w:sz w:val="24"/>
          <w:szCs w:val="24"/>
        </w:rPr>
        <w:t>4</w:t>
      </w:r>
      <w:r w:rsidR="009B40C9" w:rsidRPr="009B40C9">
        <w:rPr>
          <w:rFonts w:ascii="Times New Roman" w:hAnsi="Times New Roman" w:cs="Times New Roman"/>
          <w:b/>
          <w:sz w:val="24"/>
          <w:szCs w:val="24"/>
        </w:rPr>
        <w:t>95</w:t>
      </w:r>
      <w:r w:rsidR="00402D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82F" w:rsidRPr="009B40C9">
        <w:rPr>
          <w:rFonts w:ascii="Times New Roman" w:hAnsi="Times New Roman" w:cs="Times New Roman"/>
          <w:b/>
          <w:sz w:val="24"/>
          <w:szCs w:val="24"/>
        </w:rPr>
        <w:t>6</w:t>
      </w:r>
      <w:r w:rsidR="009B40C9" w:rsidRPr="009B40C9">
        <w:rPr>
          <w:rFonts w:ascii="Times New Roman" w:hAnsi="Times New Roman" w:cs="Times New Roman"/>
          <w:b/>
          <w:sz w:val="24"/>
          <w:szCs w:val="24"/>
        </w:rPr>
        <w:t>05</w:t>
      </w:r>
      <w:r w:rsidRPr="009B40C9">
        <w:rPr>
          <w:rFonts w:ascii="Times New Roman" w:hAnsi="Times New Roman" w:cs="Times New Roman"/>
          <w:b/>
          <w:sz w:val="24"/>
          <w:szCs w:val="24"/>
        </w:rPr>
        <w:t>,</w:t>
      </w:r>
      <w:r w:rsidR="009B40C9" w:rsidRPr="009B40C9">
        <w:rPr>
          <w:rFonts w:ascii="Times New Roman" w:hAnsi="Times New Roman" w:cs="Times New Roman"/>
          <w:b/>
          <w:sz w:val="24"/>
          <w:szCs w:val="24"/>
        </w:rPr>
        <w:t>45</w:t>
      </w:r>
      <w:r w:rsidRPr="009B40C9">
        <w:rPr>
          <w:rFonts w:ascii="Times New Roman" w:hAnsi="Times New Roman" w:cs="Times New Roman"/>
          <w:b/>
          <w:sz w:val="24"/>
          <w:szCs w:val="24"/>
        </w:rPr>
        <w:t>лв.</w:t>
      </w:r>
    </w:p>
    <w:p w:rsidR="00940BB0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г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Активи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ити чрез финансиране с</w:t>
      </w:r>
      <w:r w:rsidR="00940BB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отчетна стойност 5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34</w:t>
      </w:r>
      <w:r w:rsidR="00402D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480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,1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5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д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Лек автомобил с отчетна стойност 28 100,00лв.</w:t>
      </w:r>
    </w:p>
    <w:p w:rsidR="00940BB0" w:rsidRPr="00E3325E" w:rsidRDefault="00940BB0" w:rsidP="00860C3E">
      <w:pPr>
        <w:spacing w:after="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2.Разпределение на дълготрайните активи между комбинирано и разделно производство.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3.Р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азпределение на дълготрайните активи при производството между електрическа и топлинна енергия.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ДА участващи в производството на електрическа енергия е 48%</w:t>
      </w:r>
    </w:p>
    <w:p w:rsidR="009042F2" w:rsidRPr="0019661D" w:rsidRDefault="00F44AA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т отчетната стойност на всички активи участващи в комбинираното производство. База за разпределение е мощността на </w:t>
      </w:r>
      <w:proofErr w:type="spellStart"/>
      <w:r w:rsidR="009042F2" w:rsidRPr="0019661D">
        <w:rPr>
          <w:rFonts w:ascii="Times New Roman" w:hAnsi="Times New Roman" w:cs="Times New Roman"/>
          <w:b/>
          <w:sz w:val="24"/>
          <w:szCs w:val="24"/>
        </w:rPr>
        <w:t>когенератора</w:t>
      </w:r>
      <w:proofErr w:type="spellEnd"/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– 5,9 </w:t>
      </w:r>
      <w:proofErr w:type="spellStart"/>
      <w:r w:rsidR="009042F2" w:rsidRPr="0019661D">
        <w:rPr>
          <w:rFonts w:ascii="Times New Roman" w:hAnsi="Times New Roman" w:cs="Times New Roman"/>
          <w:b/>
          <w:sz w:val="24"/>
          <w:szCs w:val="24"/>
        </w:rPr>
        <w:t>Мвт</w:t>
      </w:r>
      <w:proofErr w:type="spellEnd"/>
      <w:r w:rsidR="009042F2" w:rsidRPr="0019661D">
        <w:rPr>
          <w:rFonts w:ascii="Times New Roman" w:hAnsi="Times New Roman" w:cs="Times New Roman"/>
          <w:b/>
          <w:sz w:val="24"/>
          <w:szCs w:val="24"/>
        </w:rPr>
        <w:t>, в т.ч.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2,8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Мвт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 xml:space="preserve"> електрическа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661D">
        <w:rPr>
          <w:rFonts w:ascii="Times New Roman" w:hAnsi="Times New Roman" w:cs="Times New Roman"/>
          <w:b/>
          <w:sz w:val="24"/>
          <w:szCs w:val="24"/>
        </w:rPr>
        <w:t>48%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3,1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Мвт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 xml:space="preserve"> топлинна      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52%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всички останали активи в  производството е отнесена към топлинната енергия.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4.Разпределението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 извършва още с осчетоводяването на активите по отделни сметки </w:t>
      </w:r>
      <w:r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9661D">
        <w:rPr>
          <w:rFonts w:ascii="Times New Roman" w:hAnsi="Times New Roman" w:cs="Times New Roman"/>
          <w:sz w:val="24"/>
          <w:szCs w:val="24"/>
        </w:rPr>
        <w:t>.ОБОРОТЕН КАПИТАЛ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Оборотният капитал е определен като не по-висока стойност от 1/8 от утвърдените годишни оперативни разходи за </w:t>
      </w:r>
      <w:r w:rsidRPr="007E01C6">
        <w:rPr>
          <w:rFonts w:ascii="Times New Roman" w:hAnsi="Times New Roman" w:cs="Times New Roman"/>
          <w:sz w:val="24"/>
          <w:szCs w:val="24"/>
        </w:rPr>
        <w:t>дейностите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4DF8" w:rsidRPr="0019661D" w:rsidRDefault="004A4D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0A6" w:rsidRPr="0019661D" w:rsidRDefault="005350A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5B44E6" w:rsidRDefault="00F01C2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</w:t>
      </w:r>
      <w:r w:rsidR="009D5B8D" w:rsidRPr="005B44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proofErr w:type="spellStart"/>
      <w:r w:rsidR="009D5B8D" w:rsidRPr="005B44E6">
        <w:rPr>
          <w:rFonts w:ascii="Times New Roman" w:hAnsi="Times New Roman" w:cs="Times New Roman"/>
          <w:b/>
          <w:sz w:val="24"/>
          <w:szCs w:val="24"/>
        </w:rPr>
        <w:t>Изп</w:t>
      </w:r>
      <w:proofErr w:type="spellEnd"/>
      <w:r w:rsidR="009D5B8D" w:rsidRPr="005B44E6">
        <w:rPr>
          <w:rFonts w:ascii="Times New Roman" w:hAnsi="Times New Roman" w:cs="Times New Roman"/>
          <w:b/>
          <w:sz w:val="24"/>
          <w:szCs w:val="24"/>
        </w:rPr>
        <w:t>. Директор:</w:t>
      </w:r>
    </w:p>
    <w:p w:rsidR="009D5B8D" w:rsidRPr="0096183A" w:rsidRDefault="009D5B8D" w:rsidP="00784B2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E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F01C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D814C0" w:rsidRPr="005B44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D814C0" w:rsidRPr="0096183A">
        <w:rPr>
          <w:rFonts w:ascii="Times New Roman" w:hAnsi="Times New Roman" w:cs="Times New Roman"/>
          <w:b/>
          <w:sz w:val="24"/>
          <w:szCs w:val="24"/>
        </w:rPr>
        <w:t>/</w:t>
      </w:r>
      <w:r w:rsidR="0096183A" w:rsidRPr="0096183A">
        <w:rPr>
          <w:rFonts w:ascii="Times New Roman" w:hAnsi="Times New Roman" w:cs="Times New Roman"/>
          <w:b/>
          <w:sz w:val="24"/>
          <w:szCs w:val="24"/>
        </w:rPr>
        <w:t xml:space="preserve">Емануил </w:t>
      </w:r>
      <w:proofErr w:type="spellStart"/>
      <w:r w:rsidR="0096183A" w:rsidRPr="0096183A">
        <w:rPr>
          <w:rFonts w:ascii="Times New Roman" w:hAnsi="Times New Roman" w:cs="Times New Roman"/>
          <w:b/>
          <w:sz w:val="24"/>
          <w:szCs w:val="24"/>
        </w:rPr>
        <w:t>Зъбов</w:t>
      </w:r>
      <w:proofErr w:type="spellEnd"/>
      <w:r w:rsidR="00D814C0" w:rsidRPr="0096183A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9D5B8D" w:rsidRPr="0096183A" w:rsidSect="00C863C5">
      <w:pgSz w:w="12240" w:h="15840" w:code="1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CA" w:rsidRDefault="000668CA" w:rsidP="00324F2D">
      <w:pPr>
        <w:spacing w:after="0" w:line="240" w:lineRule="auto"/>
      </w:pPr>
      <w:r>
        <w:separator/>
      </w:r>
    </w:p>
  </w:endnote>
  <w:endnote w:type="continuationSeparator" w:id="0">
    <w:p w:rsidR="000668CA" w:rsidRDefault="000668CA" w:rsidP="0032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CA" w:rsidRDefault="000668CA" w:rsidP="00324F2D">
      <w:pPr>
        <w:spacing w:after="0" w:line="240" w:lineRule="auto"/>
      </w:pPr>
      <w:r>
        <w:separator/>
      </w:r>
    </w:p>
  </w:footnote>
  <w:footnote w:type="continuationSeparator" w:id="0">
    <w:p w:rsidR="000668CA" w:rsidRDefault="000668CA" w:rsidP="0032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1E94558"/>
    <w:multiLevelType w:val="hybridMultilevel"/>
    <w:tmpl w:val="F1BC52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438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47B0DD7"/>
    <w:multiLevelType w:val="hybridMultilevel"/>
    <w:tmpl w:val="1952D7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3862B5"/>
    <w:multiLevelType w:val="hybridMultilevel"/>
    <w:tmpl w:val="F620DA7C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A5E74"/>
    <w:multiLevelType w:val="multilevel"/>
    <w:tmpl w:val="8DD4A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556AFC"/>
    <w:multiLevelType w:val="hybridMultilevel"/>
    <w:tmpl w:val="CFCA3190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12"/>
  </w:num>
  <w:num w:numId="12">
    <w:abstractNumId w:val="14"/>
  </w:num>
  <w:num w:numId="13">
    <w:abstractNumId w:val="1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055"/>
    <w:rsid w:val="00005547"/>
    <w:rsid w:val="000060C3"/>
    <w:rsid w:val="000064CF"/>
    <w:rsid w:val="000137E4"/>
    <w:rsid w:val="00014C27"/>
    <w:rsid w:val="00024DFA"/>
    <w:rsid w:val="000250D9"/>
    <w:rsid w:val="00032433"/>
    <w:rsid w:val="000423F1"/>
    <w:rsid w:val="00045AA2"/>
    <w:rsid w:val="00056B54"/>
    <w:rsid w:val="00064FA1"/>
    <w:rsid w:val="000660FA"/>
    <w:rsid w:val="000668CA"/>
    <w:rsid w:val="00066FDE"/>
    <w:rsid w:val="000704F0"/>
    <w:rsid w:val="00086343"/>
    <w:rsid w:val="00096AD2"/>
    <w:rsid w:val="0009791D"/>
    <w:rsid w:val="000A066E"/>
    <w:rsid w:val="000A2051"/>
    <w:rsid w:val="000A72F3"/>
    <w:rsid w:val="000B472A"/>
    <w:rsid w:val="000C1339"/>
    <w:rsid w:val="000C1B7B"/>
    <w:rsid w:val="000C4BF9"/>
    <w:rsid w:val="000C5ACD"/>
    <w:rsid w:val="000C6D68"/>
    <w:rsid w:val="000C77B0"/>
    <w:rsid w:val="000D20D9"/>
    <w:rsid w:val="000D299B"/>
    <w:rsid w:val="000D3BDD"/>
    <w:rsid w:val="000D4071"/>
    <w:rsid w:val="000D54D6"/>
    <w:rsid w:val="000D6DA2"/>
    <w:rsid w:val="00100D5F"/>
    <w:rsid w:val="00100D7F"/>
    <w:rsid w:val="00106457"/>
    <w:rsid w:val="00122783"/>
    <w:rsid w:val="00125509"/>
    <w:rsid w:val="00133FD5"/>
    <w:rsid w:val="00136D34"/>
    <w:rsid w:val="00150B7B"/>
    <w:rsid w:val="001564F9"/>
    <w:rsid w:val="0017044E"/>
    <w:rsid w:val="00170718"/>
    <w:rsid w:val="001745E4"/>
    <w:rsid w:val="00174607"/>
    <w:rsid w:val="001851DE"/>
    <w:rsid w:val="00190C3E"/>
    <w:rsid w:val="00190FD7"/>
    <w:rsid w:val="00193EC5"/>
    <w:rsid w:val="00195B36"/>
    <w:rsid w:val="0019661D"/>
    <w:rsid w:val="00196926"/>
    <w:rsid w:val="001A3153"/>
    <w:rsid w:val="001B0510"/>
    <w:rsid w:val="001B2CD1"/>
    <w:rsid w:val="001B2DE2"/>
    <w:rsid w:val="001B6C32"/>
    <w:rsid w:val="001C24D3"/>
    <w:rsid w:val="001D1C4B"/>
    <w:rsid w:val="001D3360"/>
    <w:rsid w:val="001D740F"/>
    <w:rsid w:val="001D76FE"/>
    <w:rsid w:val="001E35DB"/>
    <w:rsid w:val="001F49F8"/>
    <w:rsid w:val="00203445"/>
    <w:rsid w:val="00210C02"/>
    <w:rsid w:val="0022242F"/>
    <w:rsid w:val="002333FE"/>
    <w:rsid w:val="002346E4"/>
    <w:rsid w:val="00241FAA"/>
    <w:rsid w:val="00243162"/>
    <w:rsid w:val="002574B8"/>
    <w:rsid w:val="00263C30"/>
    <w:rsid w:val="00264A0F"/>
    <w:rsid w:val="00265055"/>
    <w:rsid w:val="00275BAD"/>
    <w:rsid w:val="002760C6"/>
    <w:rsid w:val="002767F1"/>
    <w:rsid w:val="0028646C"/>
    <w:rsid w:val="00290108"/>
    <w:rsid w:val="00291979"/>
    <w:rsid w:val="00295404"/>
    <w:rsid w:val="002B0936"/>
    <w:rsid w:val="002C16AE"/>
    <w:rsid w:val="002C302B"/>
    <w:rsid w:val="002C4470"/>
    <w:rsid w:val="002D36F5"/>
    <w:rsid w:val="002E03F9"/>
    <w:rsid w:val="002E73C0"/>
    <w:rsid w:val="002F3CA3"/>
    <w:rsid w:val="0030246A"/>
    <w:rsid w:val="0031614F"/>
    <w:rsid w:val="00321512"/>
    <w:rsid w:val="00324F2D"/>
    <w:rsid w:val="0032783F"/>
    <w:rsid w:val="00332521"/>
    <w:rsid w:val="00334DF0"/>
    <w:rsid w:val="00335B40"/>
    <w:rsid w:val="003409C4"/>
    <w:rsid w:val="00341D7B"/>
    <w:rsid w:val="00343DDB"/>
    <w:rsid w:val="00350654"/>
    <w:rsid w:val="00350AF2"/>
    <w:rsid w:val="00353935"/>
    <w:rsid w:val="0035566A"/>
    <w:rsid w:val="00360EC3"/>
    <w:rsid w:val="00381272"/>
    <w:rsid w:val="00382A05"/>
    <w:rsid w:val="00393263"/>
    <w:rsid w:val="003968BB"/>
    <w:rsid w:val="003A51FB"/>
    <w:rsid w:val="003A5F51"/>
    <w:rsid w:val="003B1C7F"/>
    <w:rsid w:val="003B5581"/>
    <w:rsid w:val="003B5CDF"/>
    <w:rsid w:val="003C02FE"/>
    <w:rsid w:val="003E1EC4"/>
    <w:rsid w:val="003E490B"/>
    <w:rsid w:val="003E624E"/>
    <w:rsid w:val="003F4AC9"/>
    <w:rsid w:val="004019D0"/>
    <w:rsid w:val="00402D33"/>
    <w:rsid w:val="00412EB7"/>
    <w:rsid w:val="004277D3"/>
    <w:rsid w:val="004307CE"/>
    <w:rsid w:val="00436DC1"/>
    <w:rsid w:val="00436FB5"/>
    <w:rsid w:val="004452C7"/>
    <w:rsid w:val="00447FA2"/>
    <w:rsid w:val="00451EE6"/>
    <w:rsid w:val="0046206C"/>
    <w:rsid w:val="00462E47"/>
    <w:rsid w:val="0046474C"/>
    <w:rsid w:val="004670C6"/>
    <w:rsid w:val="00467374"/>
    <w:rsid w:val="00470D7C"/>
    <w:rsid w:val="00476AF7"/>
    <w:rsid w:val="004772A3"/>
    <w:rsid w:val="00480120"/>
    <w:rsid w:val="00481F5D"/>
    <w:rsid w:val="00481FA3"/>
    <w:rsid w:val="00491F09"/>
    <w:rsid w:val="004965CA"/>
    <w:rsid w:val="004A1052"/>
    <w:rsid w:val="004A4DF8"/>
    <w:rsid w:val="004C3086"/>
    <w:rsid w:val="004C4AB7"/>
    <w:rsid w:val="004C692A"/>
    <w:rsid w:val="004E16DD"/>
    <w:rsid w:val="004E5B8C"/>
    <w:rsid w:val="004E68BF"/>
    <w:rsid w:val="004F37C2"/>
    <w:rsid w:val="004F5695"/>
    <w:rsid w:val="00504A59"/>
    <w:rsid w:val="00527626"/>
    <w:rsid w:val="00531480"/>
    <w:rsid w:val="005350A6"/>
    <w:rsid w:val="00535B26"/>
    <w:rsid w:val="00537073"/>
    <w:rsid w:val="005519E2"/>
    <w:rsid w:val="005675A8"/>
    <w:rsid w:val="005740FF"/>
    <w:rsid w:val="00576542"/>
    <w:rsid w:val="00577077"/>
    <w:rsid w:val="0057709F"/>
    <w:rsid w:val="00580934"/>
    <w:rsid w:val="00584FF9"/>
    <w:rsid w:val="00591897"/>
    <w:rsid w:val="005940DD"/>
    <w:rsid w:val="005A5F77"/>
    <w:rsid w:val="005A6CAB"/>
    <w:rsid w:val="005B062F"/>
    <w:rsid w:val="005B44E6"/>
    <w:rsid w:val="005B4EC0"/>
    <w:rsid w:val="005B5053"/>
    <w:rsid w:val="005B7ED5"/>
    <w:rsid w:val="005C7497"/>
    <w:rsid w:val="005D3E08"/>
    <w:rsid w:val="005E7E5D"/>
    <w:rsid w:val="005F3AE2"/>
    <w:rsid w:val="005F65A4"/>
    <w:rsid w:val="00610822"/>
    <w:rsid w:val="00612B99"/>
    <w:rsid w:val="006159EE"/>
    <w:rsid w:val="00620EAC"/>
    <w:rsid w:val="00635157"/>
    <w:rsid w:val="00652115"/>
    <w:rsid w:val="00653AC3"/>
    <w:rsid w:val="00663835"/>
    <w:rsid w:val="00666CC1"/>
    <w:rsid w:val="0067670C"/>
    <w:rsid w:val="00682A4E"/>
    <w:rsid w:val="0068334B"/>
    <w:rsid w:val="006917CD"/>
    <w:rsid w:val="006917EC"/>
    <w:rsid w:val="006A027C"/>
    <w:rsid w:val="006E4EE6"/>
    <w:rsid w:val="006E69D4"/>
    <w:rsid w:val="00700F2B"/>
    <w:rsid w:val="00703A5C"/>
    <w:rsid w:val="00711272"/>
    <w:rsid w:val="00712C49"/>
    <w:rsid w:val="0071320C"/>
    <w:rsid w:val="00715FFA"/>
    <w:rsid w:val="00716EF8"/>
    <w:rsid w:val="007279F9"/>
    <w:rsid w:val="007302E7"/>
    <w:rsid w:val="00737950"/>
    <w:rsid w:val="00742CAD"/>
    <w:rsid w:val="007475BF"/>
    <w:rsid w:val="00751D90"/>
    <w:rsid w:val="0075794D"/>
    <w:rsid w:val="007654CA"/>
    <w:rsid w:val="00765C71"/>
    <w:rsid w:val="00784B24"/>
    <w:rsid w:val="007921BF"/>
    <w:rsid w:val="00796087"/>
    <w:rsid w:val="007B4FD1"/>
    <w:rsid w:val="007C3CAB"/>
    <w:rsid w:val="007C65B0"/>
    <w:rsid w:val="007D4162"/>
    <w:rsid w:val="007E01C6"/>
    <w:rsid w:val="007E5158"/>
    <w:rsid w:val="007F034E"/>
    <w:rsid w:val="00806F85"/>
    <w:rsid w:val="008167E9"/>
    <w:rsid w:val="00820437"/>
    <w:rsid w:val="00821FAA"/>
    <w:rsid w:val="008238B9"/>
    <w:rsid w:val="00832C99"/>
    <w:rsid w:val="00837064"/>
    <w:rsid w:val="00842C56"/>
    <w:rsid w:val="00844120"/>
    <w:rsid w:val="00850038"/>
    <w:rsid w:val="0085107E"/>
    <w:rsid w:val="00852143"/>
    <w:rsid w:val="00860C3E"/>
    <w:rsid w:val="00873C0D"/>
    <w:rsid w:val="008773C2"/>
    <w:rsid w:val="0088057C"/>
    <w:rsid w:val="00881AF7"/>
    <w:rsid w:val="008A6462"/>
    <w:rsid w:val="008B0F2F"/>
    <w:rsid w:val="008C0A26"/>
    <w:rsid w:val="008E16F1"/>
    <w:rsid w:val="008E382F"/>
    <w:rsid w:val="008E3904"/>
    <w:rsid w:val="008E5DB1"/>
    <w:rsid w:val="008F1490"/>
    <w:rsid w:val="008F6A40"/>
    <w:rsid w:val="009042F2"/>
    <w:rsid w:val="0090648A"/>
    <w:rsid w:val="00912110"/>
    <w:rsid w:val="0091498D"/>
    <w:rsid w:val="0091696C"/>
    <w:rsid w:val="00940BB0"/>
    <w:rsid w:val="0094696F"/>
    <w:rsid w:val="0096183A"/>
    <w:rsid w:val="00963473"/>
    <w:rsid w:val="00964CAB"/>
    <w:rsid w:val="00967B1B"/>
    <w:rsid w:val="009718E7"/>
    <w:rsid w:val="00980C86"/>
    <w:rsid w:val="009833BA"/>
    <w:rsid w:val="0098462B"/>
    <w:rsid w:val="00987D43"/>
    <w:rsid w:val="00994EA1"/>
    <w:rsid w:val="009A1067"/>
    <w:rsid w:val="009A24F0"/>
    <w:rsid w:val="009A7D47"/>
    <w:rsid w:val="009B40C9"/>
    <w:rsid w:val="009C1CB8"/>
    <w:rsid w:val="009C22EC"/>
    <w:rsid w:val="009D1688"/>
    <w:rsid w:val="009D5315"/>
    <w:rsid w:val="009D562D"/>
    <w:rsid w:val="009D5B8D"/>
    <w:rsid w:val="009D6A58"/>
    <w:rsid w:val="009E4B30"/>
    <w:rsid w:val="009F2403"/>
    <w:rsid w:val="00A021AA"/>
    <w:rsid w:val="00A02FAA"/>
    <w:rsid w:val="00A04AA2"/>
    <w:rsid w:val="00A10A54"/>
    <w:rsid w:val="00A112F8"/>
    <w:rsid w:val="00A17FB2"/>
    <w:rsid w:val="00A256E9"/>
    <w:rsid w:val="00A306FA"/>
    <w:rsid w:val="00A33FFC"/>
    <w:rsid w:val="00A36AD4"/>
    <w:rsid w:val="00A40C8F"/>
    <w:rsid w:val="00A421ED"/>
    <w:rsid w:val="00A42A2B"/>
    <w:rsid w:val="00A46B59"/>
    <w:rsid w:val="00A52759"/>
    <w:rsid w:val="00A54FC7"/>
    <w:rsid w:val="00A57825"/>
    <w:rsid w:val="00A63CF3"/>
    <w:rsid w:val="00A64513"/>
    <w:rsid w:val="00A66A7D"/>
    <w:rsid w:val="00A832E4"/>
    <w:rsid w:val="00A876D7"/>
    <w:rsid w:val="00A9371A"/>
    <w:rsid w:val="00AA25DC"/>
    <w:rsid w:val="00AA2612"/>
    <w:rsid w:val="00AB3C22"/>
    <w:rsid w:val="00AB53C8"/>
    <w:rsid w:val="00AC084E"/>
    <w:rsid w:val="00AC371A"/>
    <w:rsid w:val="00AC3A19"/>
    <w:rsid w:val="00AE681B"/>
    <w:rsid w:val="00AF2692"/>
    <w:rsid w:val="00AF278D"/>
    <w:rsid w:val="00B05561"/>
    <w:rsid w:val="00B05CA7"/>
    <w:rsid w:val="00B13D1E"/>
    <w:rsid w:val="00B17CC1"/>
    <w:rsid w:val="00B22CC7"/>
    <w:rsid w:val="00B3348E"/>
    <w:rsid w:val="00B33987"/>
    <w:rsid w:val="00B37381"/>
    <w:rsid w:val="00B571FF"/>
    <w:rsid w:val="00B61E36"/>
    <w:rsid w:val="00B801B5"/>
    <w:rsid w:val="00B8649A"/>
    <w:rsid w:val="00B90919"/>
    <w:rsid w:val="00BA2B79"/>
    <w:rsid w:val="00BA36BD"/>
    <w:rsid w:val="00BA38A8"/>
    <w:rsid w:val="00BA3CE3"/>
    <w:rsid w:val="00BA3F49"/>
    <w:rsid w:val="00BA4F8F"/>
    <w:rsid w:val="00BA5EF2"/>
    <w:rsid w:val="00BB654B"/>
    <w:rsid w:val="00BB7F8A"/>
    <w:rsid w:val="00BF214C"/>
    <w:rsid w:val="00BF365F"/>
    <w:rsid w:val="00C01264"/>
    <w:rsid w:val="00C040B9"/>
    <w:rsid w:val="00C06E0A"/>
    <w:rsid w:val="00C17774"/>
    <w:rsid w:val="00C27B8B"/>
    <w:rsid w:val="00C31746"/>
    <w:rsid w:val="00C349BB"/>
    <w:rsid w:val="00C4013E"/>
    <w:rsid w:val="00C47237"/>
    <w:rsid w:val="00C5473F"/>
    <w:rsid w:val="00C77202"/>
    <w:rsid w:val="00C859F8"/>
    <w:rsid w:val="00C863C5"/>
    <w:rsid w:val="00C92122"/>
    <w:rsid w:val="00CA2873"/>
    <w:rsid w:val="00CA437E"/>
    <w:rsid w:val="00CB091E"/>
    <w:rsid w:val="00CB5082"/>
    <w:rsid w:val="00CC3788"/>
    <w:rsid w:val="00CC42F4"/>
    <w:rsid w:val="00CC4718"/>
    <w:rsid w:val="00CC7650"/>
    <w:rsid w:val="00CD0613"/>
    <w:rsid w:val="00CE00AD"/>
    <w:rsid w:val="00CE0DDF"/>
    <w:rsid w:val="00CE3033"/>
    <w:rsid w:val="00CE4BE3"/>
    <w:rsid w:val="00CF0458"/>
    <w:rsid w:val="00CF082D"/>
    <w:rsid w:val="00CF4DEE"/>
    <w:rsid w:val="00CF55CB"/>
    <w:rsid w:val="00CF716B"/>
    <w:rsid w:val="00D03996"/>
    <w:rsid w:val="00D10FB5"/>
    <w:rsid w:val="00D13690"/>
    <w:rsid w:val="00D17A20"/>
    <w:rsid w:val="00D20E6A"/>
    <w:rsid w:val="00D2301C"/>
    <w:rsid w:val="00D2432E"/>
    <w:rsid w:val="00D26D4A"/>
    <w:rsid w:val="00D27BAD"/>
    <w:rsid w:val="00D306E9"/>
    <w:rsid w:val="00D33FC0"/>
    <w:rsid w:val="00D37195"/>
    <w:rsid w:val="00D42C32"/>
    <w:rsid w:val="00D519F4"/>
    <w:rsid w:val="00D642CE"/>
    <w:rsid w:val="00D65F23"/>
    <w:rsid w:val="00D76E12"/>
    <w:rsid w:val="00D814C0"/>
    <w:rsid w:val="00D92B40"/>
    <w:rsid w:val="00D950B6"/>
    <w:rsid w:val="00DB43CF"/>
    <w:rsid w:val="00DB6698"/>
    <w:rsid w:val="00DB7F65"/>
    <w:rsid w:val="00DC29C8"/>
    <w:rsid w:val="00DE0FC2"/>
    <w:rsid w:val="00DF486A"/>
    <w:rsid w:val="00E02B1A"/>
    <w:rsid w:val="00E13519"/>
    <w:rsid w:val="00E14A34"/>
    <w:rsid w:val="00E224A6"/>
    <w:rsid w:val="00E3325E"/>
    <w:rsid w:val="00E36680"/>
    <w:rsid w:val="00E4020D"/>
    <w:rsid w:val="00E4773B"/>
    <w:rsid w:val="00E55783"/>
    <w:rsid w:val="00E562C2"/>
    <w:rsid w:val="00E64E54"/>
    <w:rsid w:val="00E65494"/>
    <w:rsid w:val="00E737DE"/>
    <w:rsid w:val="00EB2E4E"/>
    <w:rsid w:val="00EB2FA5"/>
    <w:rsid w:val="00EC1C3D"/>
    <w:rsid w:val="00EC5593"/>
    <w:rsid w:val="00ED0CC2"/>
    <w:rsid w:val="00ED7341"/>
    <w:rsid w:val="00EF2F00"/>
    <w:rsid w:val="00EF5F17"/>
    <w:rsid w:val="00F01C27"/>
    <w:rsid w:val="00F01DCD"/>
    <w:rsid w:val="00F034F0"/>
    <w:rsid w:val="00F11C7B"/>
    <w:rsid w:val="00F1765F"/>
    <w:rsid w:val="00F2221C"/>
    <w:rsid w:val="00F25AC0"/>
    <w:rsid w:val="00F34F44"/>
    <w:rsid w:val="00F4437E"/>
    <w:rsid w:val="00F44AA1"/>
    <w:rsid w:val="00F54DBE"/>
    <w:rsid w:val="00F55E47"/>
    <w:rsid w:val="00F57C09"/>
    <w:rsid w:val="00F6039D"/>
    <w:rsid w:val="00F657CB"/>
    <w:rsid w:val="00F71E04"/>
    <w:rsid w:val="00F9648E"/>
    <w:rsid w:val="00F97CC0"/>
    <w:rsid w:val="00FC1C30"/>
    <w:rsid w:val="00FD19AA"/>
    <w:rsid w:val="00FD5951"/>
    <w:rsid w:val="00FE7988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F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12C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324F2D"/>
  </w:style>
  <w:style w:type="paragraph" w:styleId="a8">
    <w:name w:val="footer"/>
    <w:basedOn w:val="a"/>
    <w:link w:val="a9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24F2D"/>
  </w:style>
  <w:style w:type="character" w:customStyle="1" w:styleId="newdocreference">
    <w:name w:val="newdocreference"/>
    <w:basedOn w:val="a0"/>
    <w:rsid w:val="00A40C8F"/>
  </w:style>
  <w:style w:type="character" w:customStyle="1" w:styleId="samedocreference">
    <w:name w:val="samedocreference"/>
    <w:basedOn w:val="a0"/>
    <w:rsid w:val="00032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29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5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33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2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45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34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5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3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4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7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1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51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37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0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41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05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10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7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1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8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69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25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46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940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55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41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8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84E3C-F312-438E-93E7-BEB1E780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9</Pages>
  <Words>2947</Words>
  <Characters>16803</Characters>
  <Application>Microsoft Office Word</Application>
  <DocSecurity>0</DocSecurity>
  <Lines>140</Lines>
  <Paragraphs>39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HP</cp:lastModifiedBy>
  <cp:revision>24</cp:revision>
  <cp:lastPrinted>2020-03-31T06:11:00Z</cp:lastPrinted>
  <dcterms:created xsi:type="dcterms:W3CDTF">2019-04-01T08:31:00Z</dcterms:created>
  <dcterms:modified xsi:type="dcterms:W3CDTF">2020-03-31T07:16:00Z</dcterms:modified>
</cp:coreProperties>
</file>